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6697" w14:textId="793502A6" w:rsidR="00975898" w:rsidRPr="0073467B" w:rsidRDefault="00B12FCE">
      <w:pPr>
        <w:spacing w:after="160"/>
        <w:rPr>
          <w:rFonts w:asciiTheme="minorHAnsi" w:hAnsiTheme="minorHAnsi" w:cstheme="minorHAnsi"/>
        </w:rPr>
      </w:pPr>
      <w:r>
        <w:rPr>
          <w:rFonts w:asciiTheme="minorHAnsi" w:hAnsiTheme="minorHAnsi" w:cstheme="minorHAnsi"/>
          <w:b/>
          <w:bCs/>
        </w:rPr>
        <w:t>Annotatie bij een uitspraak van</w:t>
      </w:r>
    </w:p>
    <w:p w14:paraId="30FE8147" w14:textId="357A99B9" w:rsidR="00975898" w:rsidRPr="008716C0" w:rsidRDefault="005C3F98">
      <w:pPr>
        <w:spacing w:after="160"/>
        <w:rPr>
          <w:rFonts w:asciiTheme="minorHAnsi" w:hAnsiTheme="minorHAnsi" w:cstheme="minorHAnsi"/>
          <w:b/>
          <w:bCs/>
        </w:rPr>
      </w:pPr>
      <w:r w:rsidRPr="0073467B">
        <w:rPr>
          <w:rFonts w:asciiTheme="minorHAnsi" w:hAnsiTheme="minorHAnsi" w:cstheme="minorHAnsi"/>
          <w:b/>
          <w:bCs/>
        </w:rPr>
        <w:t>Rechtbank Midden-Nederland 4 maart 2026</w:t>
      </w:r>
      <w:r w:rsidRPr="0073467B">
        <w:rPr>
          <w:rFonts w:asciiTheme="minorHAnsi" w:hAnsiTheme="minorHAnsi" w:cstheme="minorHAnsi"/>
        </w:rPr>
        <w:t xml:space="preserve">, </w:t>
      </w:r>
      <w:r w:rsidRPr="008716C0">
        <w:rPr>
          <w:rFonts w:asciiTheme="minorHAnsi" w:hAnsiTheme="minorHAnsi" w:cstheme="minorHAnsi"/>
          <w:b/>
          <w:bCs/>
        </w:rPr>
        <w:t>ECLI:NL:RBMNE:2026:558</w:t>
      </w:r>
      <w:r w:rsidR="008716C0" w:rsidRPr="008716C0">
        <w:rPr>
          <w:rFonts w:asciiTheme="minorHAnsi" w:hAnsiTheme="minorHAnsi" w:cstheme="minorHAnsi"/>
          <w:b/>
          <w:bCs/>
        </w:rPr>
        <w:t>.</w:t>
      </w:r>
    </w:p>
    <w:p w14:paraId="2EB25324" w14:textId="35ABEC33" w:rsidR="00975898" w:rsidRPr="00605DB5" w:rsidRDefault="005C3F98">
      <w:pPr>
        <w:spacing w:after="160"/>
        <w:rPr>
          <w:rFonts w:asciiTheme="minorHAnsi" w:hAnsiTheme="minorHAnsi" w:cstheme="minorHAnsi"/>
        </w:rPr>
      </w:pPr>
      <w:r w:rsidRPr="00605DB5">
        <w:rPr>
          <w:rFonts w:asciiTheme="minorHAnsi" w:hAnsiTheme="minorHAnsi" w:cstheme="minorHAnsi"/>
          <w:i/>
          <w:iCs/>
        </w:rPr>
        <w:t>Art. 45d Auteurswet — art. 18 DSM-richtlijn — art. 5 lid 1 Berner Conventie</w:t>
      </w:r>
    </w:p>
    <w:p w14:paraId="0A2C5776" w14:textId="77777777" w:rsidR="00975898" w:rsidRDefault="005C3F98">
      <w:pPr>
        <w:spacing w:after="160"/>
        <w:rPr>
          <w:rFonts w:asciiTheme="minorHAnsi" w:hAnsiTheme="minorHAnsi" w:cstheme="minorHAnsi"/>
          <w:i/>
          <w:iCs/>
        </w:rPr>
      </w:pPr>
      <w:proofErr w:type="spellStart"/>
      <w:r w:rsidRPr="0073467B">
        <w:rPr>
          <w:rFonts w:asciiTheme="minorHAnsi" w:hAnsiTheme="minorHAnsi" w:cstheme="minorHAnsi"/>
          <w:i/>
          <w:iCs/>
        </w:rPr>
        <w:t>Makerschap</w:t>
      </w:r>
      <w:proofErr w:type="spellEnd"/>
      <w:r w:rsidRPr="0073467B">
        <w:rPr>
          <w:rFonts w:asciiTheme="minorHAnsi" w:hAnsiTheme="minorHAnsi" w:cstheme="minorHAnsi"/>
          <w:i/>
          <w:iCs/>
        </w:rPr>
        <w:t xml:space="preserve">, lex </w:t>
      </w:r>
      <w:proofErr w:type="spellStart"/>
      <w:r w:rsidRPr="0073467B">
        <w:rPr>
          <w:rFonts w:asciiTheme="minorHAnsi" w:hAnsiTheme="minorHAnsi" w:cstheme="minorHAnsi"/>
          <w:i/>
          <w:iCs/>
        </w:rPr>
        <w:t>originis</w:t>
      </w:r>
      <w:proofErr w:type="spellEnd"/>
      <w:r w:rsidRPr="0073467B">
        <w:rPr>
          <w:rFonts w:asciiTheme="minorHAnsi" w:hAnsiTheme="minorHAnsi" w:cstheme="minorHAnsi"/>
          <w:i/>
          <w:iCs/>
        </w:rPr>
        <w:t xml:space="preserve">, </w:t>
      </w:r>
      <w:proofErr w:type="spellStart"/>
      <w:r w:rsidRPr="0073467B">
        <w:rPr>
          <w:rFonts w:asciiTheme="minorHAnsi" w:hAnsiTheme="minorHAnsi" w:cstheme="minorHAnsi"/>
          <w:i/>
          <w:iCs/>
        </w:rPr>
        <w:t>work</w:t>
      </w:r>
      <w:proofErr w:type="spellEnd"/>
      <w:r w:rsidRPr="0073467B">
        <w:rPr>
          <w:rFonts w:asciiTheme="minorHAnsi" w:hAnsiTheme="minorHAnsi" w:cstheme="minorHAnsi"/>
          <w:i/>
          <w:iCs/>
        </w:rPr>
        <w:t xml:space="preserve"> made </w:t>
      </w:r>
      <w:proofErr w:type="spellStart"/>
      <w:r w:rsidRPr="0073467B">
        <w:rPr>
          <w:rFonts w:asciiTheme="minorHAnsi" w:hAnsiTheme="minorHAnsi" w:cstheme="minorHAnsi"/>
          <w:i/>
          <w:iCs/>
        </w:rPr>
        <w:t>for</w:t>
      </w:r>
      <w:proofErr w:type="spellEnd"/>
      <w:r w:rsidRPr="0073467B">
        <w:rPr>
          <w:rFonts w:asciiTheme="minorHAnsi" w:hAnsiTheme="minorHAnsi" w:cstheme="minorHAnsi"/>
          <w:i/>
          <w:iCs/>
        </w:rPr>
        <w:t xml:space="preserve"> </w:t>
      </w:r>
      <w:proofErr w:type="spellStart"/>
      <w:r w:rsidRPr="0073467B">
        <w:rPr>
          <w:rFonts w:asciiTheme="minorHAnsi" w:hAnsiTheme="minorHAnsi" w:cstheme="minorHAnsi"/>
          <w:i/>
          <w:iCs/>
        </w:rPr>
        <w:t>hire</w:t>
      </w:r>
      <w:proofErr w:type="spellEnd"/>
      <w:r w:rsidRPr="0073467B">
        <w:rPr>
          <w:rFonts w:asciiTheme="minorHAnsi" w:hAnsiTheme="minorHAnsi" w:cstheme="minorHAnsi"/>
          <w:i/>
          <w:iCs/>
        </w:rPr>
        <w:t>, proportionele billijke vergoeding, assimilatiebeginsel</w:t>
      </w:r>
    </w:p>
    <w:p w14:paraId="506C0E2F" w14:textId="77777777" w:rsidR="00CA51E0" w:rsidRPr="0073467B" w:rsidRDefault="00CA51E0">
      <w:pPr>
        <w:spacing w:after="160"/>
        <w:rPr>
          <w:rFonts w:asciiTheme="minorHAnsi" w:hAnsiTheme="minorHAnsi" w:cstheme="minorHAnsi"/>
        </w:rPr>
      </w:pPr>
    </w:p>
    <w:p w14:paraId="2EC08841" w14:textId="4D0163FA" w:rsidR="00CA51E0" w:rsidRPr="00F41181" w:rsidRDefault="00CA51E0" w:rsidP="00F41181">
      <w:pPr>
        <w:rPr>
          <w:rFonts w:asciiTheme="minorHAnsi" w:hAnsiTheme="minorHAnsi" w:cstheme="minorHAnsi"/>
          <w:b/>
          <w:bCs/>
        </w:rPr>
      </w:pPr>
      <w:r w:rsidRPr="00F41181">
        <w:rPr>
          <w:rFonts w:asciiTheme="minorHAnsi" w:hAnsiTheme="minorHAnsi" w:cstheme="minorHAnsi"/>
          <w:b/>
          <w:bCs/>
          <w:color w:val="1A1A2E"/>
        </w:rPr>
        <w:t>1.</w:t>
      </w:r>
      <w:r w:rsidRPr="00F41181">
        <w:rPr>
          <w:rFonts w:asciiTheme="minorHAnsi" w:hAnsiTheme="minorHAnsi" w:cstheme="minorHAnsi"/>
          <w:b/>
          <w:bCs/>
        </w:rPr>
        <w:t xml:space="preserve"> Inleiding</w:t>
      </w:r>
    </w:p>
    <w:p w14:paraId="40D35A0E" w14:textId="4079CE3C"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De Rechtbank Midden-Nederland deed op 4 maart 2026 uitspraak in een zaak op het snijvlak van nationaal auteursrecht, internationaal privaatrecht en Europees recht. De Directors Guild of America, de </w:t>
      </w:r>
      <w:proofErr w:type="spellStart"/>
      <w:r w:rsidRPr="00FF63BF">
        <w:rPr>
          <w:rFonts w:asciiTheme="minorHAnsi" w:hAnsiTheme="minorHAnsi" w:cstheme="minorHAnsi"/>
        </w:rPr>
        <w:t>Writers</w:t>
      </w:r>
      <w:proofErr w:type="spellEnd"/>
      <w:r w:rsidRPr="00FF63BF">
        <w:rPr>
          <w:rFonts w:asciiTheme="minorHAnsi" w:hAnsiTheme="minorHAnsi" w:cstheme="minorHAnsi"/>
        </w:rPr>
        <w:t xml:space="preserve"> Guild of America West en de </w:t>
      </w:r>
      <w:proofErr w:type="spellStart"/>
      <w:r w:rsidRPr="00FF63BF">
        <w:rPr>
          <w:rFonts w:asciiTheme="minorHAnsi" w:hAnsiTheme="minorHAnsi" w:cstheme="minorHAnsi"/>
        </w:rPr>
        <w:t>Writers</w:t>
      </w:r>
      <w:proofErr w:type="spellEnd"/>
      <w:r w:rsidRPr="00FF63BF">
        <w:rPr>
          <w:rFonts w:asciiTheme="minorHAnsi" w:hAnsiTheme="minorHAnsi" w:cstheme="minorHAnsi"/>
        </w:rPr>
        <w:t xml:space="preserve"> Guild of America East (hierna: de Guilds), alsmede de Duitse rechtenbeheersorganisatie GWFF, vorderden een proportionele billijke vergoeding van </w:t>
      </w:r>
      <w:r w:rsidR="00C82FA6">
        <w:rPr>
          <w:rFonts w:asciiTheme="minorHAnsi" w:hAnsiTheme="minorHAnsi" w:cstheme="minorHAnsi"/>
        </w:rPr>
        <w:t>uitzender</w:t>
      </w:r>
      <w:r w:rsidRPr="00FF63BF">
        <w:rPr>
          <w:rFonts w:asciiTheme="minorHAnsi" w:hAnsiTheme="minorHAnsi" w:cstheme="minorHAnsi"/>
        </w:rPr>
        <w:t xml:space="preserve"> Ziggo B.V. op grond van artikel 45d lid </w:t>
      </w:r>
      <w:r w:rsidR="00066FDE">
        <w:rPr>
          <w:rFonts w:asciiTheme="minorHAnsi" w:hAnsiTheme="minorHAnsi" w:cstheme="minorHAnsi"/>
        </w:rPr>
        <w:t>2</w:t>
      </w:r>
      <w:r w:rsidRPr="00FF63BF">
        <w:rPr>
          <w:rFonts w:asciiTheme="minorHAnsi" w:hAnsiTheme="minorHAnsi" w:cstheme="minorHAnsi"/>
        </w:rPr>
        <w:t xml:space="preserve"> Auteurswet (hierna: </w:t>
      </w:r>
      <w:proofErr w:type="spellStart"/>
      <w:r w:rsidRPr="00FF63BF">
        <w:rPr>
          <w:rFonts w:asciiTheme="minorHAnsi" w:hAnsiTheme="minorHAnsi" w:cstheme="minorHAnsi"/>
        </w:rPr>
        <w:t>Aw</w:t>
      </w:r>
      <w:proofErr w:type="spellEnd"/>
      <w:r w:rsidRPr="00FF63BF">
        <w:rPr>
          <w:rFonts w:asciiTheme="minorHAnsi" w:hAnsiTheme="minorHAnsi" w:cstheme="minorHAnsi"/>
        </w:rPr>
        <w:t>). De Guilds vertegenwoordigen naar eigen zeggen ruim 30.000 Amerikaanse filmregisseurs en scenarioschrijvers</w:t>
      </w:r>
      <w:r w:rsidR="004770B1">
        <w:rPr>
          <w:rFonts w:asciiTheme="minorHAnsi" w:hAnsiTheme="minorHAnsi" w:cstheme="minorHAnsi"/>
        </w:rPr>
        <w:t>, van wie de</w:t>
      </w:r>
      <w:r w:rsidRPr="00FF63BF">
        <w:rPr>
          <w:rFonts w:asciiTheme="minorHAnsi" w:hAnsiTheme="minorHAnsi" w:cstheme="minorHAnsi"/>
        </w:rPr>
        <w:t xml:space="preserve"> werken dagelijks via Ziggo in Nederland worden uitgezonden.</w:t>
      </w:r>
      <w:r w:rsidRPr="00FF63BF">
        <w:rPr>
          <w:rStyle w:val="Voetnootmarkering"/>
          <w:rFonts w:asciiTheme="minorHAnsi" w:hAnsiTheme="minorHAnsi" w:cstheme="minorHAnsi"/>
        </w:rPr>
        <w:footnoteReference w:id="1"/>
      </w:r>
    </w:p>
    <w:p w14:paraId="5623DEE8" w14:textId="58CFCD15" w:rsid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De rechtbank wijst de vordering volledig af. Het vonnis roept fundamentele vragen op over de wisselwerking tussen de lex </w:t>
      </w:r>
      <w:proofErr w:type="spellStart"/>
      <w:r w:rsidRPr="00FF63BF">
        <w:rPr>
          <w:rFonts w:asciiTheme="minorHAnsi" w:hAnsiTheme="minorHAnsi" w:cstheme="minorHAnsi"/>
        </w:rPr>
        <w:t>originis</w:t>
      </w:r>
      <w:proofErr w:type="spellEnd"/>
      <w:r w:rsidRPr="00FF63BF">
        <w:rPr>
          <w:rFonts w:asciiTheme="minorHAnsi" w:hAnsiTheme="minorHAnsi" w:cstheme="minorHAnsi"/>
        </w:rPr>
        <w:t xml:space="preserve">, het Europese </w:t>
      </w:r>
      <w:proofErr w:type="spellStart"/>
      <w:r w:rsidRPr="00FF63BF">
        <w:rPr>
          <w:rFonts w:asciiTheme="minorHAnsi" w:hAnsiTheme="minorHAnsi" w:cstheme="minorHAnsi"/>
        </w:rPr>
        <w:t>makersbegrip</w:t>
      </w:r>
      <w:proofErr w:type="spellEnd"/>
      <w:r w:rsidRPr="00FF63BF">
        <w:rPr>
          <w:rFonts w:asciiTheme="minorHAnsi" w:hAnsiTheme="minorHAnsi" w:cstheme="minorHAnsi"/>
        </w:rPr>
        <w:t xml:space="preserve"> en het assimilatiebeginsel van de Berner Conventie.</w:t>
      </w:r>
    </w:p>
    <w:p w14:paraId="55213375" w14:textId="77777777" w:rsidR="00AD6427" w:rsidRPr="00FF63BF" w:rsidRDefault="00AD6427" w:rsidP="00AD6427">
      <w:pPr>
        <w:spacing w:after="160"/>
        <w:jc w:val="both"/>
        <w:rPr>
          <w:rFonts w:asciiTheme="minorHAnsi" w:hAnsiTheme="minorHAnsi" w:cstheme="minorHAnsi"/>
        </w:rPr>
      </w:pPr>
      <w:r w:rsidRPr="00FF63BF">
        <w:rPr>
          <w:rFonts w:asciiTheme="minorHAnsi" w:hAnsiTheme="minorHAnsi" w:cstheme="minorHAnsi"/>
        </w:rPr>
        <w:t xml:space="preserve">De centrale rechtsvragen </w:t>
      </w:r>
      <w:r>
        <w:rPr>
          <w:rFonts w:asciiTheme="minorHAnsi" w:hAnsiTheme="minorHAnsi" w:cstheme="minorHAnsi"/>
        </w:rPr>
        <w:t xml:space="preserve">uit dit vonnis </w:t>
      </w:r>
      <w:r w:rsidRPr="00FF63BF">
        <w:rPr>
          <w:rFonts w:asciiTheme="minorHAnsi" w:hAnsiTheme="minorHAnsi" w:cstheme="minorHAnsi"/>
        </w:rPr>
        <w:t>zijn: (i) naar welk recht wordt bepaald wie als maker geldt; (ii) heeft de vangnetbepaling ook werking buiten de Amerikaanse rechtssfeer; (iii) brengt artikel 18 DSM-richtlijn mee dat de filmmakers toch als maker worden aangemerkt; en (iv) leidt het assimilatiebeginsel van de Berner Conventie tot een vergoedingsaanspraak.</w:t>
      </w:r>
    </w:p>
    <w:p w14:paraId="1FF18BCC" w14:textId="77777777" w:rsidR="00FF63BF" w:rsidRPr="00FF63BF" w:rsidRDefault="00FF63BF" w:rsidP="00FF63BF">
      <w:pPr>
        <w:spacing w:after="160"/>
        <w:jc w:val="both"/>
        <w:rPr>
          <w:rFonts w:asciiTheme="minorHAnsi" w:hAnsiTheme="minorHAnsi" w:cstheme="minorHAnsi"/>
        </w:rPr>
      </w:pPr>
    </w:p>
    <w:p w14:paraId="3EF0729F" w14:textId="365A394A" w:rsidR="00975898" w:rsidRPr="00FF63BF" w:rsidRDefault="005C3F98" w:rsidP="00F41181">
      <w:pPr>
        <w:jc w:val="both"/>
        <w:rPr>
          <w:rFonts w:asciiTheme="minorHAnsi" w:hAnsiTheme="minorHAnsi" w:cstheme="minorHAnsi"/>
        </w:rPr>
      </w:pPr>
      <w:r w:rsidRPr="00FF63BF">
        <w:rPr>
          <w:rFonts w:asciiTheme="minorHAnsi" w:hAnsiTheme="minorHAnsi" w:cstheme="minorHAnsi"/>
          <w:b/>
          <w:bCs/>
        </w:rPr>
        <w:t xml:space="preserve">2. </w:t>
      </w:r>
      <w:r w:rsidR="00D921E8">
        <w:rPr>
          <w:rFonts w:asciiTheme="minorHAnsi" w:hAnsiTheme="minorHAnsi" w:cstheme="minorHAnsi"/>
          <w:b/>
          <w:bCs/>
        </w:rPr>
        <w:t>J</w:t>
      </w:r>
      <w:r w:rsidRPr="00FF63BF">
        <w:rPr>
          <w:rFonts w:asciiTheme="minorHAnsi" w:hAnsiTheme="minorHAnsi" w:cstheme="minorHAnsi"/>
          <w:b/>
          <w:bCs/>
        </w:rPr>
        <w:t>uridisch kader</w:t>
      </w:r>
    </w:p>
    <w:p w14:paraId="7AD4FBFD" w14:textId="4891FC8C" w:rsidR="001B6112" w:rsidRPr="00FF63BF" w:rsidRDefault="0073467B" w:rsidP="00FF63BF">
      <w:pPr>
        <w:spacing w:after="160"/>
        <w:jc w:val="both"/>
        <w:rPr>
          <w:rFonts w:asciiTheme="minorHAnsi" w:hAnsiTheme="minorHAnsi" w:cstheme="minorHAnsi"/>
        </w:rPr>
      </w:pPr>
      <w:r w:rsidRPr="00FF63BF">
        <w:rPr>
          <w:rFonts w:asciiTheme="minorHAnsi" w:hAnsiTheme="minorHAnsi" w:cstheme="minorHAnsi"/>
        </w:rPr>
        <w:t xml:space="preserve">Artikel 45d lid 2 </w:t>
      </w:r>
      <w:proofErr w:type="spellStart"/>
      <w:r w:rsidRPr="00FF63BF">
        <w:rPr>
          <w:rFonts w:asciiTheme="minorHAnsi" w:hAnsiTheme="minorHAnsi" w:cstheme="minorHAnsi"/>
        </w:rPr>
        <w:t>Aw</w:t>
      </w:r>
      <w:proofErr w:type="spellEnd"/>
      <w:r w:rsidRPr="00FF63BF">
        <w:rPr>
          <w:rFonts w:asciiTheme="minorHAnsi" w:hAnsiTheme="minorHAnsi" w:cstheme="minorHAnsi"/>
        </w:rPr>
        <w:t xml:space="preserve"> verplicht uitzenders sinds 1 juli 2015 een vergoeding te betalen aan filmmakers die hun exploitatierechten aan de producent hebben overgedragen, als opvolger van de vervallen kabeldoorgiftevergoeding. </w:t>
      </w:r>
      <w:r w:rsidR="001B6112" w:rsidRPr="00FF63BF">
        <w:rPr>
          <w:rFonts w:asciiTheme="minorHAnsi" w:hAnsiTheme="minorHAnsi" w:cstheme="minorHAnsi"/>
        </w:rPr>
        <w:t xml:space="preserve">Uit </w:t>
      </w:r>
      <w:r>
        <w:rPr>
          <w:rFonts w:asciiTheme="minorHAnsi" w:hAnsiTheme="minorHAnsi" w:cstheme="minorHAnsi"/>
        </w:rPr>
        <w:t xml:space="preserve">dit artikel </w:t>
      </w:r>
      <w:r w:rsidR="001B6112" w:rsidRPr="00FF63BF">
        <w:rPr>
          <w:rFonts w:asciiTheme="minorHAnsi" w:hAnsiTheme="minorHAnsi" w:cstheme="minorHAnsi"/>
        </w:rPr>
        <w:t xml:space="preserve">volgt dat er in beginsel wordt vermoed dat de makers het recht op het hun werk hebben overgedragen aan de producent, tenzij de makers en de producent van een filmwerk anders zijn overeengekomen. De producent heeft dan recht op een billijke vergoeding in ruil voor het exploiteren van het filmwerk. Deze vergoeding moet volgens </w:t>
      </w:r>
      <w:r w:rsidR="007D766B">
        <w:rPr>
          <w:rFonts w:asciiTheme="minorHAnsi" w:hAnsiTheme="minorHAnsi" w:cstheme="minorHAnsi"/>
        </w:rPr>
        <w:t xml:space="preserve">art. 45d </w:t>
      </w:r>
      <w:r w:rsidR="001B6112" w:rsidRPr="00FF63BF">
        <w:rPr>
          <w:rFonts w:asciiTheme="minorHAnsi" w:hAnsiTheme="minorHAnsi" w:cstheme="minorHAnsi"/>
        </w:rPr>
        <w:t>lid 2</w:t>
      </w:r>
      <w:r w:rsidR="007D766B">
        <w:rPr>
          <w:rFonts w:asciiTheme="minorHAnsi" w:hAnsiTheme="minorHAnsi" w:cstheme="minorHAnsi"/>
        </w:rPr>
        <w:t xml:space="preserve"> </w:t>
      </w:r>
      <w:proofErr w:type="spellStart"/>
      <w:r w:rsidR="007D766B">
        <w:rPr>
          <w:rFonts w:asciiTheme="minorHAnsi" w:hAnsiTheme="minorHAnsi" w:cstheme="minorHAnsi"/>
        </w:rPr>
        <w:t>Aw</w:t>
      </w:r>
      <w:proofErr w:type="spellEnd"/>
      <w:r w:rsidR="001B6112" w:rsidRPr="00FF63BF">
        <w:rPr>
          <w:rFonts w:asciiTheme="minorHAnsi" w:hAnsiTheme="minorHAnsi" w:cstheme="minorHAnsi"/>
        </w:rPr>
        <w:t xml:space="preserve"> passend zijn en in verhouding staan tot het gebruik dat van het recht wordt gemaakt door de producent. Om een billijke vergoeding te vorderen, zal er </w:t>
      </w:r>
      <w:r>
        <w:rPr>
          <w:rFonts w:asciiTheme="minorHAnsi" w:hAnsiTheme="minorHAnsi" w:cstheme="minorHAnsi"/>
        </w:rPr>
        <w:t xml:space="preserve">dus </w:t>
      </w:r>
      <w:r w:rsidR="001B6112" w:rsidRPr="00FF63BF">
        <w:rPr>
          <w:rFonts w:asciiTheme="minorHAnsi" w:hAnsiTheme="minorHAnsi" w:cstheme="minorHAnsi"/>
        </w:rPr>
        <w:t>sprake moeten zijn van overdracht</w:t>
      </w:r>
      <w:r w:rsidR="00E254BD" w:rsidRPr="00FF63BF">
        <w:rPr>
          <w:rFonts w:asciiTheme="minorHAnsi" w:hAnsiTheme="minorHAnsi" w:cstheme="minorHAnsi"/>
        </w:rPr>
        <w:t>.</w:t>
      </w:r>
      <w:r w:rsidR="00E254BD" w:rsidRPr="00FF63BF">
        <w:rPr>
          <w:rStyle w:val="Voetnootmarkering"/>
          <w:rFonts w:asciiTheme="minorHAnsi" w:hAnsiTheme="minorHAnsi" w:cstheme="minorHAnsi"/>
        </w:rPr>
        <w:footnoteReference w:id="2"/>
      </w:r>
    </w:p>
    <w:p w14:paraId="1FBDACF3" w14:textId="315F8954" w:rsidR="00E254BD" w:rsidRPr="00FF63BF" w:rsidRDefault="00E254BD" w:rsidP="00FF63BF">
      <w:pPr>
        <w:spacing w:after="160"/>
        <w:jc w:val="both"/>
        <w:rPr>
          <w:rFonts w:asciiTheme="minorHAnsi" w:hAnsiTheme="minorHAnsi" w:cstheme="minorHAnsi"/>
        </w:rPr>
      </w:pPr>
      <w:r w:rsidRPr="00FF63BF">
        <w:rPr>
          <w:rFonts w:asciiTheme="minorHAnsi" w:hAnsiTheme="minorHAnsi" w:cstheme="minorHAnsi"/>
        </w:rPr>
        <w:t xml:space="preserve">Dat is bijvoorbeeld niet het geval wanneer de filmmaker aan de filmproducent een licentie verstrekt om zijn werk te mogen uitzenden. Dan heeft de filmmaker nog zijn openbaarmakingsrechten. Het is ook niet het geval als de filmmaker zijn bijdrage in dienstverband heeft verricht. </w:t>
      </w:r>
      <w:r w:rsidR="001F18B3">
        <w:rPr>
          <w:rFonts w:asciiTheme="minorHAnsi" w:hAnsiTheme="minorHAnsi" w:cstheme="minorHAnsi"/>
        </w:rPr>
        <w:t>In dat geval krijgt de werkgev</w:t>
      </w:r>
      <w:r w:rsidR="00D646E6">
        <w:rPr>
          <w:rFonts w:asciiTheme="minorHAnsi" w:hAnsiTheme="minorHAnsi" w:cstheme="minorHAnsi"/>
        </w:rPr>
        <w:t>er o</w:t>
      </w:r>
      <w:r w:rsidRPr="00FF63BF">
        <w:rPr>
          <w:rFonts w:asciiTheme="minorHAnsi" w:hAnsiTheme="minorHAnsi" w:cstheme="minorHAnsi"/>
        </w:rPr>
        <w:t xml:space="preserve">p grond van art. 7 </w:t>
      </w:r>
      <w:proofErr w:type="spellStart"/>
      <w:r w:rsidRPr="00FF63BF">
        <w:rPr>
          <w:rFonts w:asciiTheme="minorHAnsi" w:hAnsiTheme="minorHAnsi" w:cstheme="minorHAnsi"/>
        </w:rPr>
        <w:t>Aw</w:t>
      </w:r>
      <w:proofErr w:type="spellEnd"/>
      <w:r w:rsidRPr="00FF63BF">
        <w:rPr>
          <w:rFonts w:asciiTheme="minorHAnsi" w:hAnsiTheme="minorHAnsi" w:cstheme="minorHAnsi"/>
        </w:rPr>
        <w:t xml:space="preserve"> van rechtswege auteursrecht.</w:t>
      </w:r>
      <w:r w:rsidRPr="00FF63BF">
        <w:rPr>
          <w:rStyle w:val="Voetnootmarkering"/>
          <w:rFonts w:asciiTheme="minorHAnsi" w:hAnsiTheme="minorHAnsi" w:cstheme="minorHAnsi"/>
        </w:rPr>
        <w:footnoteReference w:id="3"/>
      </w:r>
    </w:p>
    <w:p w14:paraId="77C41E49" w14:textId="409DA523" w:rsidR="00384F7E"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In de VS geldt het </w:t>
      </w:r>
      <w:proofErr w:type="spellStart"/>
      <w:r w:rsidRPr="00FF63BF">
        <w:rPr>
          <w:rFonts w:asciiTheme="minorHAnsi" w:hAnsiTheme="minorHAnsi" w:cstheme="minorHAnsi"/>
          <w:i/>
          <w:iCs/>
        </w:rPr>
        <w:t>work</w:t>
      </w:r>
      <w:proofErr w:type="spellEnd"/>
      <w:r w:rsidRPr="00FF63BF">
        <w:rPr>
          <w:rFonts w:asciiTheme="minorHAnsi" w:hAnsiTheme="minorHAnsi" w:cstheme="minorHAnsi"/>
          <w:i/>
          <w:iCs/>
        </w:rPr>
        <w:t xml:space="preserve"> made </w:t>
      </w:r>
      <w:proofErr w:type="spellStart"/>
      <w:r w:rsidRPr="00FF63BF">
        <w:rPr>
          <w:rFonts w:asciiTheme="minorHAnsi" w:hAnsiTheme="minorHAnsi" w:cstheme="minorHAnsi"/>
          <w:i/>
          <w:iCs/>
        </w:rPr>
        <w:t>for</w:t>
      </w:r>
      <w:proofErr w:type="spellEnd"/>
      <w:r w:rsidRPr="00FF63BF">
        <w:rPr>
          <w:rFonts w:asciiTheme="minorHAnsi" w:hAnsiTheme="minorHAnsi" w:cstheme="minorHAnsi"/>
          <w:i/>
          <w:iCs/>
        </w:rPr>
        <w:t xml:space="preserve"> </w:t>
      </w:r>
      <w:proofErr w:type="spellStart"/>
      <w:r w:rsidRPr="00FF63BF">
        <w:rPr>
          <w:rFonts w:asciiTheme="minorHAnsi" w:hAnsiTheme="minorHAnsi" w:cstheme="minorHAnsi"/>
          <w:i/>
          <w:iCs/>
        </w:rPr>
        <w:t>hire</w:t>
      </w:r>
      <w:proofErr w:type="spellEnd"/>
      <w:r w:rsidRPr="00FF63BF">
        <w:rPr>
          <w:rFonts w:asciiTheme="minorHAnsi" w:hAnsiTheme="minorHAnsi" w:cstheme="minorHAnsi"/>
        </w:rPr>
        <w:t xml:space="preserve">-beginsel (WMFH). Op grond van de U.S. Copyright Act wordt een creatieve bijdrage als WMFH aangemerkt wanneer (i) het werk in dienstverband is gemaakt, of </w:t>
      </w:r>
      <w:r w:rsidRPr="00FF63BF">
        <w:rPr>
          <w:rFonts w:asciiTheme="minorHAnsi" w:hAnsiTheme="minorHAnsi" w:cstheme="minorHAnsi"/>
        </w:rPr>
        <w:lastRenderedPageBreak/>
        <w:t>(ii) het gaat om een speciaal besteld werk waarbij partijen dit uitdrukkelijk schriftelijk overeenkomen.</w:t>
      </w:r>
      <w:r w:rsidRPr="00FF63BF">
        <w:rPr>
          <w:rStyle w:val="Voetnootmarkering"/>
          <w:rFonts w:asciiTheme="minorHAnsi" w:hAnsiTheme="minorHAnsi" w:cstheme="minorHAnsi"/>
        </w:rPr>
        <w:footnoteReference w:id="4"/>
      </w:r>
      <w:r w:rsidRPr="00FF63BF">
        <w:rPr>
          <w:rFonts w:asciiTheme="minorHAnsi" w:hAnsiTheme="minorHAnsi" w:cstheme="minorHAnsi"/>
        </w:rPr>
        <w:t xml:space="preserve"> De opdrachtgever geldt dan als maker en auteursrechthebbende</w:t>
      </w:r>
      <w:r w:rsidR="00981C4B" w:rsidRPr="00FF63BF">
        <w:rPr>
          <w:rFonts w:asciiTheme="minorHAnsi" w:hAnsiTheme="minorHAnsi" w:cstheme="minorHAnsi"/>
        </w:rPr>
        <w:t>. D</w:t>
      </w:r>
      <w:r w:rsidRPr="00FF63BF">
        <w:rPr>
          <w:rFonts w:asciiTheme="minorHAnsi" w:hAnsiTheme="minorHAnsi" w:cstheme="minorHAnsi"/>
        </w:rPr>
        <w:t xml:space="preserve">e filmmaker ontvangt in de plaats daarvan de vergoedingen </w:t>
      </w:r>
      <w:r w:rsidR="00384F7E" w:rsidRPr="00FF63BF">
        <w:rPr>
          <w:rFonts w:asciiTheme="minorHAnsi" w:hAnsiTheme="minorHAnsi" w:cstheme="minorHAnsi"/>
        </w:rPr>
        <w:t xml:space="preserve">die zijn </w:t>
      </w:r>
      <w:r w:rsidRPr="00FF63BF">
        <w:rPr>
          <w:rFonts w:asciiTheme="minorHAnsi" w:hAnsiTheme="minorHAnsi" w:cstheme="minorHAnsi"/>
        </w:rPr>
        <w:t>vastgelegd in de</w:t>
      </w:r>
      <w:r w:rsidR="0019608E" w:rsidRPr="00FF63BF">
        <w:rPr>
          <w:rFonts w:asciiTheme="minorHAnsi" w:hAnsiTheme="minorHAnsi" w:cstheme="minorHAnsi"/>
        </w:rPr>
        <w:t xml:space="preserve"> Minimum Basic </w:t>
      </w:r>
      <w:proofErr w:type="spellStart"/>
      <w:r w:rsidR="0019608E" w:rsidRPr="00FF63BF">
        <w:rPr>
          <w:rFonts w:asciiTheme="minorHAnsi" w:hAnsiTheme="minorHAnsi" w:cstheme="minorHAnsi"/>
        </w:rPr>
        <w:t>Agreements</w:t>
      </w:r>
      <w:proofErr w:type="spellEnd"/>
      <w:r w:rsidRPr="00FF63BF">
        <w:rPr>
          <w:rFonts w:asciiTheme="minorHAnsi" w:hAnsiTheme="minorHAnsi" w:cstheme="minorHAnsi"/>
        </w:rPr>
        <w:t xml:space="preserve"> </w:t>
      </w:r>
      <w:r w:rsidR="0019608E" w:rsidRPr="00FF63BF">
        <w:rPr>
          <w:rFonts w:asciiTheme="minorHAnsi" w:hAnsiTheme="minorHAnsi" w:cstheme="minorHAnsi"/>
        </w:rPr>
        <w:t>(</w:t>
      </w:r>
      <w:proofErr w:type="spellStart"/>
      <w:r w:rsidRPr="00FF63BF">
        <w:rPr>
          <w:rFonts w:asciiTheme="minorHAnsi" w:hAnsiTheme="minorHAnsi" w:cstheme="minorHAnsi"/>
        </w:rPr>
        <w:t>MBA's</w:t>
      </w:r>
      <w:proofErr w:type="spellEnd"/>
      <w:r w:rsidR="0019608E" w:rsidRPr="00FF63BF">
        <w:rPr>
          <w:rFonts w:asciiTheme="minorHAnsi" w:hAnsiTheme="minorHAnsi" w:cstheme="minorHAnsi"/>
        </w:rPr>
        <w:t>)</w:t>
      </w:r>
      <w:r w:rsidRPr="00FF63BF">
        <w:rPr>
          <w:rFonts w:asciiTheme="minorHAnsi" w:hAnsiTheme="minorHAnsi" w:cstheme="minorHAnsi"/>
        </w:rPr>
        <w:t xml:space="preserve">. </w:t>
      </w:r>
      <w:r w:rsidR="0048312C" w:rsidRPr="00FF63BF">
        <w:rPr>
          <w:rFonts w:asciiTheme="minorHAnsi" w:hAnsiTheme="minorHAnsi" w:cstheme="minorHAnsi"/>
        </w:rPr>
        <w:t>Bijbehorende vergoeding voor de filmmakers bestaat enerzijds uit een vergoeding voor het maken van het werk en anderzijds uit vergoedingen voor het vertonen en heruitzenden van filmwerken in binnen- en buitenland via verschillende media.</w:t>
      </w:r>
      <w:r w:rsidR="0048312C" w:rsidRPr="00FF63BF">
        <w:rPr>
          <w:rStyle w:val="Voetnootmarkering"/>
          <w:rFonts w:asciiTheme="minorHAnsi" w:hAnsiTheme="minorHAnsi" w:cstheme="minorHAnsi"/>
        </w:rPr>
        <w:footnoteReference w:id="5"/>
      </w:r>
    </w:p>
    <w:p w14:paraId="59BBF5B4" w14:textId="0B76620C" w:rsidR="00384F7E" w:rsidRPr="00FF63BF" w:rsidRDefault="00384F7E" w:rsidP="00FF63BF">
      <w:pPr>
        <w:spacing w:after="160"/>
        <w:jc w:val="both"/>
        <w:rPr>
          <w:rFonts w:asciiTheme="minorHAnsi" w:hAnsiTheme="minorHAnsi" w:cstheme="minorHAnsi"/>
        </w:rPr>
      </w:pPr>
      <w:r w:rsidRPr="00FF63BF">
        <w:rPr>
          <w:rFonts w:asciiTheme="minorHAnsi" w:hAnsiTheme="minorHAnsi" w:cstheme="minorHAnsi"/>
        </w:rPr>
        <w:t>De standaard opdrachtovereenkomst die de Guilds in de procedure overlegden, bevat in artikel 2 een verklaring dat de creatieve bijdrage een WMFH is, alsmede een vangnetbepaling. Die vangnetbepaling houdt in dat de filmmaker zijn rechten overdraagt aan de producent in het geval de bijdrage achteraf niet als WMFH wordt aangemerkt.</w:t>
      </w:r>
      <w:r w:rsidR="007851A4">
        <w:rPr>
          <w:rStyle w:val="Voetnootmarkering"/>
          <w:rFonts w:asciiTheme="minorHAnsi" w:hAnsiTheme="minorHAnsi" w:cstheme="minorHAnsi"/>
        </w:rPr>
        <w:footnoteReference w:id="6"/>
      </w:r>
    </w:p>
    <w:p w14:paraId="702A1EF0" w14:textId="1AF1C783" w:rsidR="00EB270B" w:rsidRDefault="0048312C" w:rsidP="00EB270B">
      <w:pPr>
        <w:spacing w:after="160"/>
        <w:jc w:val="both"/>
        <w:rPr>
          <w:rFonts w:asciiTheme="minorHAnsi" w:hAnsiTheme="minorHAnsi" w:cstheme="minorHAnsi"/>
        </w:rPr>
      </w:pPr>
      <w:r w:rsidRPr="00FF63BF">
        <w:rPr>
          <w:rFonts w:asciiTheme="minorHAnsi" w:hAnsiTheme="minorHAnsi" w:cstheme="minorHAnsi"/>
        </w:rPr>
        <w:t xml:space="preserve">De rechtbank maakt in zijn vonnis de keuze voor het Amerikaans recht om te bepalen wie als maker en auteursrechthebbende heeft te gelden. De rechtbank baseert deze keuze op de lex </w:t>
      </w:r>
      <w:proofErr w:type="spellStart"/>
      <w:r w:rsidRPr="00FF63BF">
        <w:rPr>
          <w:rFonts w:asciiTheme="minorHAnsi" w:hAnsiTheme="minorHAnsi" w:cstheme="minorHAnsi"/>
        </w:rPr>
        <w:t>originis</w:t>
      </w:r>
      <w:proofErr w:type="spellEnd"/>
      <w:r w:rsidRPr="00FF63BF">
        <w:rPr>
          <w:rFonts w:asciiTheme="minorHAnsi" w:hAnsiTheme="minorHAnsi" w:cstheme="minorHAnsi"/>
        </w:rPr>
        <w:t>.</w:t>
      </w:r>
      <w:r w:rsidRPr="00FF63BF">
        <w:rPr>
          <w:rStyle w:val="Voetnootmarkering"/>
          <w:rFonts w:asciiTheme="minorHAnsi" w:hAnsiTheme="minorHAnsi" w:cstheme="minorHAnsi"/>
        </w:rPr>
        <w:footnoteReference w:id="7"/>
      </w:r>
      <w:r w:rsidRPr="00FF63BF">
        <w:rPr>
          <w:rFonts w:asciiTheme="minorHAnsi" w:hAnsiTheme="minorHAnsi" w:cstheme="minorHAnsi"/>
        </w:rPr>
        <w:t xml:space="preserve"> Dit betekent dat het recht van het land van oorsprong geldt, en daarmee in dit geval Amerika. De rechtbank</w:t>
      </w:r>
      <w:r w:rsidR="00DB2220" w:rsidRPr="00FF63BF">
        <w:rPr>
          <w:rFonts w:asciiTheme="minorHAnsi" w:hAnsiTheme="minorHAnsi" w:cstheme="minorHAnsi"/>
        </w:rPr>
        <w:t xml:space="preserve"> </w:t>
      </w:r>
      <w:r w:rsidR="00CB54E0" w:rsidRPr="00FF63BF">
        <w:rPr>
          <w:rFonts w:asciiTheme="minorHAnsi" w:hAnsiTheme="minorHAnsi" w:cstheme="minorHAnsi"/>
        </w:rPr>
        <w:t>kiest hiervoor</w:t>
      </w:r>
      <w:r w:rsidR="00DB2220" w:rsidRPr="00FF63BF">
        <w:rPr>
          <w:rFonts w:asciiTheme="minorHAnsi" w:hAnsiTheme="minorHAnsi" w:cstheme="minorHAnsi"/>
        </w:rPr>
        <w:t xml:space="preserve"> om te voorkomen dat er ten aanzien van hetzelfde werk verschillende rechthebbenden zijn.</w:t>
      </w:r>
      <w:r w:rsidR="001D238F">
        <w:rPr>
          <w:rFonts w:asciiTheme="minorHAnsi" w:hAnsiTheme="minorHAnsi" w:cstheme="minorHAnsi"/>
        </w:rPr>
        <w:t xml:space="preserve"> Daarbij speelt de gehele rechtsverhouding tussen de filmmaker en de filmproducent zich volledig af binnen de Amerikaanse rechtssfeer.</w:t>
      </w:r>
      <w:r w:rsidR="00DB2220" w:rsidRPr="00FF63BF">
        <w:rPr>
          <w:rFonts w:asciiTheme="minorHAnsi" w:hAnsiTheme="minorHAnsi" w:cstheme="minorHAnsi"/>
        </w:rPr>
        <w:t xml:space="preserve"> </w:t>
      </w:r>
      <w:r w:rsidR="001D238F">
        <w:rPr>
          <w:rFonts w:asciiTheme="minorHAnsi" w:hAnsiTheme="minorHAnsi" w:cstheme="minorHAnsi"/>
        </w:rPr>
        <w:t>Tenslotte</w:t>
      </w:r>
      <w:r w:rsidR="00DB2220" w:rsidRPr="00FF63BF">
        <w:rPr>
          <w:rFonts w:asciiTheme="minorHAnsi" w:hAnsiTheme="minorHAnsi" w:cstheme="minorHAnsi"/>
        </w:rPr>
        <w:t xml:space="preserve"> bevat de opdrachtovereenkomst, die standaard wordt gebruikt, ook een specifieke bepaling waarin Amerikaans recht op de overeenkomst van toepassing </w:t>
      </w:r>
      <w:r w:rsidR="004770B1">
        <w:rPr>
          <w:rFonts w:asciiTheme="minorHAnsi" w:hAnsiTheme="minorHAnsi" w:cstheme="minorHAnsi"/>
        </w:rPr>
        <w:t xml:space="preserve">wordt </w:t>
      </w:r>
      <w:r w:rsidR="00DB2220" w:rsidRPr="00FF63BF">
        <w:rPr>
          <w:rFonts w:asciiTheme="minorHAnsi" w:hAnsiTheme="minorHAnsi" w:cstheme="minorHAnsi"/>
        </w:rPr>
        <w:t>verklaard.</w:t>
      </w:r>
      <w:r w:rsidR="00DB2220" w:rsidRPr="00FF63BF">
        <w:rPr>
          <w:rStyle w:val="Voetnootmarkering"/>
          <w:rFonts w:asciiTheme="minorHAnsi" w:hAnsiTheme="minorHAnsi" w:cstheme="minorHAnsi"/>
        </w:rPr>
        <w:footnoteReference w:id="8"/>
      </w:r>
    </w:p>
    <w:p w14:paraId="3874FA6B" w14:textId="3317DAC1" w:rsidR="00DF2E63" w:rsidRDefault="00DF2E63" w:rsidP="00EB270B">
      <w:pPr>
        <w:spacing w:after="160"/>
        <w:jc w:val="both"/>
        <w:rPr>
          <w:rFonts w:asciiTheme="minorHAnsi" w:hAnsiTheme="minorHAnsi" w:cstheme="minorHAnsi"/>
        </w:rPr>
      </w:pPr>
      <w:r w:rsidRPr="001C0869">
        <w:rPr>
          <w:rFonts w:asciiTheme="minorHAnsi" w:hAnsiTheme="minorHAnsi" w:cstheme="minorHAnsi"/>
        </w:rPr>
        <w:t xml:space="preserve">De keuze van </w:t>
      </w:r>
      <w:r w:rsidR="00527DCD" w:rsidRPr="001C0869">
        <w:rPr>
          <w:rFonts w:asciiTheme="minorHAnsi" w:hAnsiTheme="minorHAnsi" w:cstheme="minorHAnsi"/>
        </w:rPr>
        <w:t xml:space="preserve">de rechtsbank om lex </w:t>
      </w:r>
      <w:proofErr w:type="spellStart"/>
      <w:r w:rsidR="00527DCD" w:rsidRPr="001C0869">
        <w:rPr>
          <w:rFonts w:asciiTheme="minorHAnsi" w:hAnsiTheme="minorHAnsi" w:cstheme="minorHAnsi"/>
        </w:rPr>
        <w:t>origins</w:t>
      </w:r>
      <w:proofErr w:type="spellEnd"/>
      <w:r w:rsidR="00527DCD" w:rsidRPr="001C0869">
        <w:rPr>
          <w:rFonts w:asciiTheme="minorHAnsi" w:hAnsiTheme="minorHAnsi" w:cstheme="minorHAnsi"/>
        </w:rPr>
        <w:t xml:space="preserve"> toe te passen staat op gespannen voet met de hoofdregel van het internationaal auteursrecht. Art. 5 lid 2 Berner Conventie</w:t>
      </w:r>
      <w:r w:rsidR="00292C5D" w:rsidRPr="001C0869">
        <w:rPr>
          <w:rStyle w:val="Voetnootmarkering"/>
          <w:rFonts w:asciiTheme="minorHAnsi" w:hAnsiTheme="minorHAnsi" w:cstheme="minorHAnsi"/>
        </w:rPr>
        <w:footnoteReference w:id="9"/>
      </w:r>
      <w:r w:rsidR="00E52399" w:rsidRPr="001C0869">
        <w:rPr>
          <w:rFonts w:asciiTheme="minorHAnsi" w:hAnsiTheme="minorHAnsi" w:cstheme="minorHAnsi"/>
        </w:rPr>
        <w:t xml:space="preserve"> bepaalt dat de omvang van de bescherming, alsmede de rechtsmiddelen die de auteur worden gewaarborgd ter handhaving van zijn rechten, </w:t>
      </w:r>
      <w:r w:rsidR="000925B2" w:rsidRPr="001C0869">
        <w:rPr>
          <w:rFonts w:asciiTheme="minorHAnsi" w:hAnsiTheme="minorHAnsi" w:cstheme="minorHAnsi"/>
        </w:rPr>
        <w:t>worden uitsluitend bepaald door de wetgeving van het lands waar de bescherming is ingeroepen.</w:t>
      </w:r>
      <w:r w:rsidR="00292C5D" w:rsidRPr="001C0869">
        <w:rPr>
          <w:rFonts w:asciiTheme="minorHAnsi" w:hAnsiTheme="minorHAnsi" w:cstheme="minorHAnsi"/>
        </w:rPr>
        <w:t xml:space="preserve"> De hoofdregel is daarmee de lex </w:t>
      </w:r>
      <w:proofErr w:type="spellStart"/>
      <w:r w:rsidR="00292C5D" w:rsidRPr="001C0869">
        <w:rPr>
          <w:rFonts w:asciiTheme="minorHAnsi" w:hAnsiTheme="minorHAnsi" w:cstheme="minorHAnsi"/>
        </w:rPr>
        <w:t>protectionis</w:t>
      </w:r>
      <w:proofErr w:type="spellEnd"/>
      <w:r w:rsidR="00015204" w:rsidRPr="001C0869">
        <w:rPr>
          <w:rFonts w:asciiTheme="minorHAnsi" w:hAnsiTheme="minorHAnsi" w:cstheme="minorHAnsi"/>
        </w:rPr>
        <w:t>.</w:t>
      </w:r>
      <w:r w:rsidR="007A5310" w:rsidRPr="001C0869">
        <w:rPr>
          <w:rFonts w:asciiTheme="minorHAnsi" w:hAnsiTheme="minorHAnsi" w:cstheme="minorHAnsi"/>
        </w:rPr>
        <w:t xml:space="preserve"> Wie als auteur moet worden aangemerkt, wordt bepaald door het recht van het land waar bescherming wordt geclaimd.</w:t>
      </w:r>
      <w:r w:rsidR="00284AE5" w:rsidRPr="001C0869">
        <w:rPr>
          <w:rStyle w:val="Voetnootmarkering"/>
          <w:rFonts w:asciiTheme="minorHAnsi" w:hAnsiTheme="minorHAnsi" w:cstheme="minorHAnsi"/>
        </w:rPr>
        <w:footnoteReference w:id="10"/>
      </w:r>
      <w:r w:rsidR="00D81D50" w:rsidRPr="001C0869">
        <w:rPr>
          <w:rFonts w:asciiTheme="minorHAnsi" w:hAnsiTheme="minorHAnsi" w:cstheme="minorHAnsi"/>
        </w:rPr>
        <w:t xml:space="preserve"> Het </w:t>
      </w:r>
      <w:proofErr w:type="spellStart"/>
      <w:r w:rsidR="00D81D50" w:rsidRPr="001C0869">
        <w:rPr>
          <w:rFonts w:asciiTheme="minorHAnsi" w:hAnsiTheme="minorHAnsi" w:cstheme="minorHAnsi"/>
        </w:rPr>
        <w:t>HvJ</w:t>
      </w:r>
      <w:proofErr w:type="spellEnd"/>
      <w:r w:rsidR="00D81D50" w:rsidRPr="001C0869">
        <w:rPr>
          <w:rFonts w:asciiTheme="minorHAnsi" w:hAnsiTheme="minorHAnsi" w:cstheme="minorHAnsi"/>
        </w:rPr>
        <w:t xml:space="preserve"> EU heeft in </w:t>
      </w:r>
      <w:proofErr w:type="spellStart"/>
      <w:r w:rsidR="0061076B" w:rsidRPr="001C0869">
        <w:rPr>
          <w:rFonts w:asciiTheme="minorHAnsi" w:hAnsiTheme="minorHAnsi" w:cstheme="minorHAnsi"/>
        </w:rPr>
        <w:t>Kwantrum</w:t>
      </w:r>
      <w:proofErr w:type="spellEnd"/>
      <w:r w:rsidR="0061076B" w:rsidRPr="001C0869">
        <w:rPr>
          <w:rFonts w:asciiTheme="minorHAnsi" w:hAnsiTheme="minorHAnsi" w:cstheme="minorHAnsi"/>
        </w:rPr>
        <w:t>/</w:t>
      </w:r>
      <w:proofErr w:type="spellStart"/>
      <w:r w:rsidR="0061076B" w:rsidRPr="001C0869">
        <w:rPr>
          <w:rFonts w:asciiTheme="minorHAnsi" w:hAnsiTheme="minorHAnsi" w:cstheme="minorHAnsi"/>
        </w:rPr>
        <w:t>Vitra</w:t>
      </w:r>
      <w:proofErr w:type="spellEnd"/>
      <w:r w:rsidR="0061076B" w:rsidRPr="001C0869">
        <w:rPr>
          <w:rFonts w:asciiTheme="minorHAnsi" w:hAnsiTheme="minorHAnsi" w:cstheme="minorHAnsi"/>
        </w:rPr>
        <w:t xml:space="preserve"> bovendien bevestigd dat de werkingssfeer van het Unie-auteursrecht wordt bepaald door een territoriaal criterium, namelijk het grondgebied waarop bescherming wordt ingeroepen, en niet door het land van oorsprong of de nationaliteit van de auteur.</w:t>
      </w:r>
      <w:r w:rsidR="001F00C8" w:rsidRPr="001C0869">
        <w:rPr>
          <w:rStyle w:val="Voetnootmarkering"/>
          <w:rFonts w:asciiTheme="minorHAnsi" w:hAnsiTheme="minorHAnsi" w:cstheme="minorHAnsi"/>
        </w:rPr>
        <w:footnoteReference w:id="11"/>
      </w:r>
      <w:r w:rsidR="0061076B">
        <w:rPr>
          <w:rFonts w:asciiTheme="minorHAnsi" w:hAnsiTheme="minorHAnsi" w:cstheme="minorHAnsi"/>
        </w:rPr>
        <w:t xml:space="preserve"> </w:t>
      </w:r>
    </w:p>
    <w:p w14:paraId="6745E1F2" w14:textId="77777777" w:rsidR="00CA51E0" w:rsidRDefault="00CA51E0" w:rsidP="00EB270B">
      <w:pPr>
        <w:spacing w:after="160"/>
        <w:jc w:val="both"/>
        <w:rPr>
          <w:rFonts w:asciiTheme="minorHAnsi" w:hAnsiTheme="minorHAnsi" w:cstheme="minorHAnsi"/>
        </w:rPr>
      </w:pPr>
    </w:p>
    <w:p w14:paraId="42662349" w14:textId="4089590D" w:rsidR="00975898" w:rsidRPr="00F41181" w:rsidRDefault="00FF63BF" w:rsidP="00F41181">
      <w:pPr>
        <w:rPr>
          <w:rFonts w:asciiTheme="minorHAnsi" w:hAnsiTheme="minorHAnsi" w:cstheme="minorHAnsi"/>
          <w:b/>
          <w:bCs/>
        </w:rPr>
      </w:pPr>
      <w:r w:rsidRPr="00F41181">
        <w:rPr>
          <w:rFonts w:asciiTheme="minorHAnsi" w:hAnsiTheme="minorHAnsi" w:cstheme="minorHAnsi"/>
          <w:b/>
          <w:bCs/>
        </w:rPr>
        <w:t>3. Het WMFH-systeem en de vangnetbepaling</w:t>
      </w:r>
    </w:p>
    <w:p w14:paraId="63648DA5" w14:textId="5FD09C15"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Eenmaal aangenomen dat Amerikaans recht van toepassing is, is de redenering over het WMFH-systeem op zichzelf consistent. De filmmakers hebben contractueel verklaard dat hun bijdrage een WMFH is, waardoor de producent van rechtswege als maker geldt. Wie nooit rechten heeft gehad, kan die ook niet overdragen. </w:t>
      </w:r>
      <w:r w:rsidR="004770B1">
        <w:rPr>
          <w:rFonts w:asciiTheme="minorHAnsi" w:hAnsiTheme="minorHAnsi" w:cstheme="minorHAnsi"/>
        </w:rPr>
        <w:t xml:space="preserve">De </w:t>
      </w:r>
      <w:r w:rsidRPr="00FF63BF">
        <w:rPr>
          <w:rFonts w:asciiTheme="minorHAnsi" w:hAnsiTheme="minorHAnsi" w:cstheme="minorHAnsi"/>
        </w:rPr>
        <w:t xml:space="preserve">overdrachtsvoorwaarde van artikel 45d lid </w:t>
      </w:r>
      <w:r w:rsidR="00AD6427">
        <w:rPr>
          <w:rFonts w:asciiTheme="minorHAnsi" w:hAnsiTheme="minorHAnsi" w:cstheme="minorHAnsi"/>
        </w:rPr>
        <w:t>1</w:t>
      </w:r>
      <w:r w:rsidRPr="00FF63BF">
        <w:rPr>
          <w:rFonts w:asciiTheme="minorHAnsi" w:hAnsiTheme="minorHAnsi" w:cstheme="minorHAnsi"/>
        </w:rPr>
        <w:t xml:space="preserve"> </w:t>
      </w:r>
      <w:proofErr w:type="spellStart"/>
      <w:r w:rsidRPr="00FF63BF">
        <w:rPr>
          <w:rFonts w:asciiTheme="minorHAnsi" w:hAnsiTheme="minorHAnsi" w:cstheme="minorHAnsi"/>
        </w:rPr>
        <w:t>Aw</w:t>
      </w:r>
      <w:proofErr w:type="spellEnd"/>
      <w:r w:rsidRPr="00FF63BF">
        <w:rPr>
          <w:rFonts w:asciiTheme="minorHAnsi" w:hAnsiTheme="minorHAnsi" w:cstheme="minorHAnsi"/>
        </w:rPr>
        <w:t xml:space="preserve"> </w:t>
      </w:r>
      <w:r w:rsidR="00AD6427">
        <w:rPr>
          <w:rFonts w:asciiTheme="minorHAnsi" w:hAnsiTheme="minorHAnsi" w:cstheme="minorHAnsi"/>
        </w:rPr>
        <w:t xml:space="preserve">kan daarom niet </w:t>
      </w:r>
      <w:r w:rsidR="00AD6427">
        <w:rPr>
          <w:rFonts w:asciiTheme="minorHAnsi" w:hAnsiTheme="minorHAnsi" w:cstheme="minorHAnsi"/>
        </w:rPr>
        <w:lastRenderedPageBreak/>
        <w:t>aangrijpen</w:t>
      </w:r>
      <w:r w:rsidRPr="00FF63BF">
        <w:rPr>
          <w:rFonts w:asciiTheme="minorHAnsi" w:hAnsiTheme="minorHAnsi" w:cstheme="minorHAnsi"/>
        </w:rPr>
        <w:t xml:space="preserve">. </w:t>
      </w:r>
      <w:r w:rsidRPr="006E1F8E">
        <w:rPr>
          <w:rFonts w:asciiTheme="minorHAnsi" w:hAnsiTheme="minorHAnsi" w:cstheme="minorHAnsi"/>
        </w:rPr>
        <w:t xml:space="preserve">Het beroep op </w:t>
      </w:r>
      <w:r w:rsidR="00AD6427" w:rsidRPr="006E1F8E">
        <w:rPr>
          <w:rFonts w:asciiTheme="minorHAnsi" w:hAnsiTheme="minorHAnsi" w:cstheme="minorHAnsi"/>
        </w:rPr>
        <w:t xml:space="preserve">de billijke vergoeding </w:t>
      </w:r>
      <w:r w:rsidRPr="006E1F8E">
        <w:rPr>
          <w:rFonts w:asciiTheme="minorHAnsi" w:hAnsiTheme="minorHAnsi" w:cstheme="minorHAnsi"/>
        </w:rPr>
        <w:t xml:space="preserve">van artikel 45d lid </w:t>
      </w:r>
      <w:r w:rsidR="00AD6427" w:rsidRPr="006E1F8E">
        <w:rPr>
          <w:rFonts w:asciiTheme="minorHAnsi" w:hAnsiTheme="minorHAnsi" w:cstheme="minorHAnsi"/>
        </w:rPr>
        <w:t>2</w:t>
      </w:r>
      <w:r w:rsidR="00384449" w:rsidRPr="006E1F8E">
        <w:rPr>
          <w:rFonts w:asciiTheme="minorHAnsi" w:hAnsiTheme="minorHAnsi" w:cstheme="minorHAnsi"/>
        </w:rPr>
        <w:t xml:space="preserve"> </w:t>
      </w:r>
      <w:proofErr w:type="spellStart"/>
      <w:r w:rsidRPr="006E1F8E">
        <w:rPr>
          <w:rFonts w:asciiTheme="minorHAnsi" w:hAnsiTheme="minorHAnsi" w:cstheme="minorHAnsi"/>
        </w:rPr>
        <w:t>Aw</w:t>
      </w:r>
      <w:proofErr w:type="spellEnd"/>
      <w:r w:rsidRPr="006E1F8E">
        <w:rPr>
          <w:rFonts w:asciiTheme="minorHAnsi" w:hAnsiTheme="minorHAnsi" w:cstheme="minorHAnsi"/>
        </w:rPr>
        <w:t xml:space="preserve"> faalt om dezelfde rede</w:t>
      </w:r>
      <w:r w:rsidR="00AD6427" w:rsidRPr="006E1F8E">
        <w:rPr>
          <w:rFonts w:asciiTheme="minorHAnsi" w:hAnsiTheme="minorHAnsi" w:cstheme="minorHAnsi"/>
        </w:rPr>
        <w:t>n nu deze bepaling veronderstelt dat rechten door de maker zijn overgedragen.</w:t>
      </w:r>
      <w:r w:rsidR="00CE7E41" w:rsidRPr="006E1F8E">
        <w:rPr>
          <w:rStyle w:val="Voetnootmarkering"/>
          <w:rFonts w:asciiTheme="minorHAnsi" w:hAnsiTheme="minorHAnsi" w:cstheme="minorHAnsi"/>
        </w:rPr>
        <w:footnoteReference w:id="12"/>
      </w:r>
    </w:p>
    <w:p w14:paraId="5C035724" w14:textId="40F23F0D" w:rsidR="00E129EC"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Kwetsbaarder is de uitleg van de vangnetbepaling. De Guilds betoogden dat deze bepaling ook de situatie dekt dat het Amerikaanse recht in zijn geheel buiten toepassing blijft.</w:t>
      </w:r>
      <w:r w:rsidRPr="00FF63BF">
        <w:rPr>
          <w:rStyle w:val="Voetnootmarkering"/>
          <w:rFonts w:asciiTheme="minorHAnsi" w:hAnsiTheme="minorHAnsi" w:cstheme="minorHAnsi"/>
        </w:rPr>
        <w:footnoteReference w:id="13"/>
      </w:r>
      <w:r w:rsidR="006B7903">
        <w:rPr>
          <w:rFonts w:asciiTheme="minorHAnsi" w:hAnsiTheme="minorHAnsi" w:cstheme="minorHAnsi"/>
        </w:rPr>
        <w:t xml:space="preserve"> </w:t>
      </w:r>
      <w:r w:rsidR="00CB54E0" w:rsidRPr="00FF63BF">
        <w:rPr>
          <w:rFonts w:asciiTheme="minorHAnsi" w:hAnsiTheme="minorHAnsi" w:cstheme="minorHAnsi"/>
        </w:rPr>
        <w:t>Een vangnetbepaling wordt immers contractueel opgenomen om onvoorziene of grensoverschrijdende situaties op te vangen.</w:t>
      </w:r>
      <w:r w:rsidR="00333740" w:rsidRPr="00FF63BF">
        <w:rPr>
          <w:rFonts w:asciiTheme="minorHAnsi" w:hAnsiTheme="minorHAnsi" w:cstheme="minorHAnsi"/>
        </w:rPr>
        <w:t xml:space="preserve"> </w:t>
      </w:r>
      <w:r w:rsidR="00E254BD" w:rsidRPr="00FF63BF">
        <w:rPr>
          <w:rFonts w:asciiTheme="minorHAnsi" w:hAnsiTheme="minorHAnsi" w:cstheme="minorHAnsi"/>
        </w:rPr>
        <w:t xml:space="preserve">Door als Nederlandse rechtbank uit te gaan van lex </w:t>
      </w:r>
      <w:proofErr w:type="spellStart"/>
      <w:r w:rsidR="00E254BD" w:rsidRPr="00FF63BF">
        <w:rPr>
          <w:rFonts w:asciiTheme="minorHAnsi" w:hAnsiTheme="minorHAnsi" w:cstheme="minorHAnsi"/>
        </w:rPr>
        <w:t>originis</w:t>
      </w:r>
      <w:proofErr w:type="spellEnd"/>
      <w:r w:rsidR="00E254BD" w:rsidRPr="00FF63BF">
        <w:rPr>
          <w:rFonts w:asciiTheme="minorHAnsi" w:hAnsiTheme="minorHAnsi" w:cstheme="minorHAnsi"/>
        </w:rPr>
        <w:t xml:space="preserve"> en daarmee van Amerikaans recht, blijft de vangnetbepaling buiten</w:t>
      </w:r>
      <w:r w:rsidR="00FF63BF" w:rsidRPr="00FF63BF">
        <w:rPr>
          <w:rFonts w:asciiTheme="minorHAnsi" w:hAnsiTheme="minorHAnsi" w:cstheme="minorHAnsi"/>
        </w:rPr>
        <w:t xml:space="preserve"> </w:t>
      </w:r>
      <w:r w:rsidR="00E254BD" w:rsidRPr="00FF63BF">
        <w:rPr>
          <w:rFonts w:asciiTheme="minorHAnsi" w:hAnsiTheme="minorHAnsi" w:cstheme="minorHAnsi"/>
        </w:rPr>
        <w:t xml:space="preserve">toepassing, aangezien het </w:t>
      </w:r>
      <w:proofErr w:type="spellStart"/>
      <w:r w:rsidR="00E254BD" w:rsidRPr="00FF63BF">
        <w:rPr>
          <w:rFonts w:asciiTheme="minorHAnsi" w:hAnsiTheme="minorHAnsi" w:cstheme="minorHAnsi"/>
        </w:rPr>
        <w:t>work</w:t>
      </w:r>
      <w:proofErr w:type="spellEnd"/>
      <w:r w:rsidR="00E254BD" w:rsidRPr="00FF63BF">
        <w:rPr>
          <w:rFonts w:asciiTheme="minorHAnsi" w:hAnsiTheme="minorHAnsi" w:cstheme="minorHAnsi"/>
        </w:rPr>
        <w:t xml:space="preserve"> made </w:t>
      </w:r>
      <w:proofErr w:type="spellStart"/>
      <w:r w:rsidR="00E254BD" w:rsidRPr="00FF63BF">
        <w:rPr>
          <w:rFonts w:asciiTheme="minorHAnsi" w:hAnsiTheme="minorHAnsi" w:cstheme="minorHAnsi"/>
        </w:rPr>
        <w:t>for</w:t>
      </w:r>
      <w:proofErr w:type="spellEnd"/>
      <w:r w:rsidR="00E254BD" w:rsidRPr="00FF63BF">
        <w:rPr>
          <w:rFonts w:asciiTheme="minorHAnsi" w:hAnsiTheme="minorHAnsi" w:cstheme="minorHAnsi"/>
        </w:rPr>
        <w:t xml:space="preserve"> </w:t>
      </w:r>
      <w:proofErr w:type="spellStart"/>
      <w:r w:rsidR="00E254BD" w:rsidRPr="00FF63BF">
        <w:rPr>
          <w:rFonts w:asciiTheme="minorHAnsi" w:hAnsiTheme="minorHAnsi" w:cstheme="minorHAnsi"/>
        </w:rPr>
        <w:t>hire</w:t>
      </w:r>
      <w:proofErr w:type="spellEnd"/>
      <w:r w:rsidR="00E254BD" w:rsidRPr="00FF63BF">
        <w:rPr>
          <w:rFonts w:asciiTheme="minorHAnsi" w:hAnsiTheme="minorHAnsi" w:cstheme="minorHAnsi"/>
        </w:rPr>
        <w:t xml:space="preserve"> kwalificeert en</w:t>
      </w:r>
      <w:r w:rsidR="00AD6427">
        <w:rPr>
          <w:rFonts w:asciiTheme="minorHAnsi" w:hAnsiTheme="minorHAnsi" w:cstheme="minorHAnsi"/>
        </w:rPr>
        <w:t xml:space="preserve"> daarmee</w:t>
      </w:r>
      <w:r w:rsidR="00E254BD" w:rsidRPr="00FF63BF">
        <w:rPr>
          <w:rFonts w:asciiTheme="minorHAnsi" w:hAnsiTheme="minorHAnsi" w:cstheme="minorHAnsi"/>
        </w:rPr>
        <w:t xml:space="preserve"> geen overdracht plaatsvindt. </w:t>
      </w:r>
      <w:r w:rsidR="00A702A4" w:rsidRPr="00FF63BF">
        <w:rPr>
          <w:rFonts w:asciiTheme="minorHAnsi" w:hAnsiTheme="minorHAnsi" w:cstheme="minorHAnsi"/>
        </w:rPr>
        <w:t xml:space="preserve">De rechten bestaan in dit geval nooit bij de maker. </w:t>
      </w:r>
    </w:p>
    <w:p w14:paraId="261F16BD" w14:textId="3F1C77F5" w:rsidR="00FF63BF" w:rsidRPr="00FF63BF" w:rsidRDefault="00E254BD" w:rsidP="00FF63BF">
      <w:pPr>
        <w:spacing w:after="160"/>
        <w:jc w:val="both"/>
        <w:rPr>
          <w:rFonts w:asciiTheme="minorHAnsi" w:hAnsiTheme="minorHAnsi" w:cstheme="minorHAnsi"/>
        </w:rPr>
      </w:pPr>
      <w:r w:rsidRPr="00FF63BF">
        <w:rPr>
          <w:rFonts w:asciiTheme="minorHAnsi" w:hAnsiTheme="minorHAnsi" w:cstheme="minorHAnsi"/>
        </w:rPr>
        <w:t xml:space="preserve">De door de Guilds verdedigde uitleg dat de bepaling ook ziet op situaties waarin een ander recht van toepassing is, veronderstelt juist dat </w:t>
      </w:r>
      <w:r w:rsidR="00CF6106">
        <w:rPr>
          <w:rFonts w:asciiTheme="minorHAnsi" w:hAnsiTheme="minorHAnsi" w:cstheme="minorHAnsi"/>
        </w:rPr>
        <w:t xml:space="preserve">het toepasselijke </w:t>
      </w:r>
      <w:r w:rsidR="006B7903">
        <w:rPr>
          <w:rFonts w:asciiTheme="minorHAnsi" w:hAnsiTheme="minorHAnsi" w:cstheme="minorHAnsi"/>
        </w:rPr>
        <w:t>recht</w:t>
      </w:r>
      <w:r w:rsidRPr="00FF63BF">
        <w:rPr>
          <w:rFonts w:asciiTheme="minorHAnsi" w:hAnsiTheme="minorHAnsi" w:cstheme="minorHAnsi"/>
        </w:rPr>
        <w:t xml:space="preserve"> niet op voorhand vaststaat. De vangnetbepaling verliest dus haar internationale functie. De rechtbank verwerpt de bredere uitleg op puur tekstuele gronden, zonder te onderzoeken of een contextuele uitleg tot een andere uitkomst had kunnen leiden.</w:t>
      </w:r>
      <w:r w:rsidR="00AD6427">
        <w:rPr>
          <w:rStyle w:val="Voetnootmarkering"/>
          <w:rFonts w:asciiTheme="minorHAnsi" w:hAnsiTheme="minorHAnsi" w:cstheme="minorHAnsi"/>
        </w:rPr>
        <w:footnoteReference w:id="14"/>
      </w:r>
      <w:r w:rsidRPr="00FF63BF">
        <w:rPr>
          <w:rFonts w:asciiTheme="minorHAnsi" w:hAnsiTheme="minorHAnsi" w:cstheme="minorHAnsi"/>
        </w:rPr>
        <w:t xml:space="preserve"> Op dit punt is het vonnis d</w:t>
      </w:r>
      <w:r w:rsidR="00AD6427">
        <w:rPr>
          <w:rFonts w:asciiTheme="minorHAnsi" w:hAnsiTheme="minorHAnsi" w:cstheme="minorHAnsi"/>
        </w:rPr>
        <w:t>a</w:t>
      </w:r>
      <w:r w:rsidRPr="00FF63BF">
        <w:rPr>
          <w:rFonts w:asciiTheme="minorHAnsi" w:hAnsiTheme="minorHAnsi" w:cstheme="minorHAnsi"/>
        </w:rPr>
        <w:t xml:space="preserve">n ook onvoldoende gemotiveerd. </w:t>
      </w:r>
    </w:p>
    <w:p w14:paraId="52A96673" w14:textId="77777777" w:rsidR="00EB270B" w:rsidRDefault="00EB270B" w:rsidP="00FF63BF">
      <w:pPr>
        <w:spacing w:after="160"/>
        <w:jc w:val="both"/>
        <w:rPr>
          <w:rFonts w:asciiTheme="minorHAnsi" w:hAnsiTheme="minorHAnsi" w:cstheme="minorHAnsi"/>
          <w:b/>
          <w:bCs/>
        </w:rPr>
      </w:pPr>
    </w:p>
    <w:p w14:paraId="00C69050" w14:textId="77777777" w:rsidR="00EB270B" w:rsidRDefault="00EB270B" w:rsidP="00FF63BF">
      <w:pPr>
        <w:spacing w:after="160"/>
        <w:jc w:val="both"/>
        <w:rPr>
          <w:rFonts w:asciiTheme="minorHAnsi" w:hAnsiTheme="minorHAnsi" w:cstheme="minorHAnsi"/>
          <w:b/>
          <w:bCs/>
        </w:rPr>
      </w:pPr>
    </w:p>
    <w:p w14:paraId="07FEE02E" w14:textId="47CC397F" w:rsidR="00975898" w:rsidRPr="00FF63BF" w:rsidRDefault="004770B1" w:rsidP="00F41181">
      <w:pPr>
        <w:jc w:val="both"/>
        <w:rPr>
          <w:rFonts w:asciiTheme="minorHAnsi" w:hAnsiTheme="minorHAnsi" w:cstheme="minorHAnsi"/>
        </w:rPr>
      </w:pPr>
      <w:r>
        <w:rPr>
          <w:rFonts w:asciiTheme="minorHAnsi" w:hAnsiTheme="minorHAnsi" w:cstheme="minorHAnsi"/>
          <w:b/>
          <w:bCs/>
        </w:rPr>
        <w:t>4</w:t>
      </w:r>
      <w:r w:rsidRPr="00FF63BF">
        <w:rPr>
          <w:rFonts w:asciiTheme="minorHAnsi" w:hAnsiTheme="minorHAnsi" w:cstheme="minorHAnsi"/>
          <w:b/>
          <w:bCs/>
        </w:rPr>
        <w:t xml:space="preserve">. De DSM-richtlijn en het Europese </w:t>
      </w:r>
      <w:proofErr w:type="spellStart"/>
      <w:r w:rsidRPr="00FF63BF">
        <w:rPr>
          <w:rFonts w:asciiTheme="minorHAnsi" w:hAnsiTheme="minorHAnsi" w:cstheme="minorHAnsi"/>
          <w:b/>
          <w:bCs/>
        </w:rPr>
        <w:t>makersbegrip</w:t>
      </w:r>
      <w:proofErr w:type="spellEnd"/>
    </w:p>
    <w:p w14:paraId="57EB03A6" w14:textId="29314024"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De Guilds beriepen zich op artikel 18 DSM-richtlijn</w:t>
      </w:r>
      <w:r w:rsidRPr="00FF63BF">
        <w:rPr>
          <w:rStyle w:val="Voetnootmarkering"/>
          <w:rFonts w:asciiTheme="minorHAnsi" w:hAnsiTheme="minorHAnsi" w:cstheme="minorHAnsi"/>
        </w:rPr>
        <w:footnoteReference w:id="15"/>
      </w:r>
      <w:r w:rsidRPr="00FF63BF">
        <w:rPr>
          <w:rFonts w:asciiTheme="minorHAnsi" w:hAnsiTheme="minorHAnsi" w:cstheme="minorHAnsi"/>
        </w:rPr>
        <w:t xml:space="preserve"> en het ONB-arrest van het </w:t>
      </w:r>
      <w:proofErr w:type="spellStart"/>
      <w:r w:rsidRPr="00FF63BF">
        <w:rPr>
          <w:rFonts w:asciiTheme="minorHAnsi" w:hAnsiTheme="minorHAnsi" w:cstheme="minorHAnsi"/>
        </w:rPr>
        <w:t>HvJ</w:t>
      </w:r>
      <w:proofErr w:type="spellEnd"/>
      <w:r w:rsidRPr="00FF63BF">
        <w:rPr>
          <w:rFonts w:asciiTheme="minorHAnsi" w:hAnsiTheme="minorHAnsi" w:cstheme="minorHAnsi"/>
        </w:rPr>
        <w:t xml:space="preserve"> EU. </w:t>
      </w:r>
      <w:r w:rsidR="00A81AFE">
        <w:rPr>
          <w:rFonts w:asciiTheme="minorHAnsi" w:hAnsiTheme="minorHAnsi" w:cstheme="minorHAnsi"/>
        </w:rPr>
        <w:t>Uit de DSM-richtlijn volgt</w:t>
      </w:r>
      <w:r w:rsidRPr="00FF63BF">
        <w:rPr>
          <w:rFonts w:asciiTheme="minorHAnsi" w:hAnsiTheme="minorHAnsi" w:cstheme="minorHAnsi"/>
        </w:rPr>
        <w:t xml:space="preserve"> dat </w:t>
      </w:r>
      <w:r w:rsidR="00E758FE">
        <w:rPr>
          <w:rFonts w:asciiTheme="minorHAnsi" w:hAnsiTheme="minorHAnsi" w:cstheme="minorHAnsi"/>
        </w:rPr>
        <w:t>bij de uitvoering van Unierechtelijke verplichtingen geen onderscheid mag worden gemaakt tussen Europese en niet-Europese onderdanen en dat deze aanspraken naar de regels van Europees recht moeten worden beoordeeld.</w:t>
      </w:r>
      <w:r w:rsidR="00E758FE">
        <w:rPr>
          <w:rStyle w:val="Voetnootmarkering"/>
          <w:rFonts w:asciiTheme="minorHAnsi" w:hAnsiTheme="minorHAnsi" w:cstheme="minorHAnsi"/>
        </w:rPr>
        <w:footnoteReference w:id="16"/>
      </w:r>
      <w:r w:rsidR="00E758FE" w:rsidRPr="00E758FE">
        <w:rPr>
          <w:rFonts w:asciiTheme="minorHAnsi" w:hAnsiTheme="minorHAnsi" w:cstheme="minorHAnsi"/>
        </w:rPr>
        <w:t xml:space="preserve"> </w:t>
      </w:r>
      <w:r w:rsidR="0082187A">
        <w:rPr>
          <w:rFonts w:asciiTheme="minorHAnsi" w:hAnsiTheme="minorHAnsi" w:cstheme="minorHAnsi"/>
        </w:rPr>
        <w:t>K</w:t>
      </w:r>
      <w:r w:rsidR="00E758FE" w:rsidRPr="00FF63BF">
        <w:rPr>
          <w:rFonts w:asciiTheme="minorHAnsi" w:hAnsiTheme="minorHAnsi" w:cstheme="minorHAnsi"/>
        </w:rPr>
        <w:t>unstenaars als natuurlijke personen in een zwakkere positie behoeven</w:t>
      </w:r>
      <w:r w:rsidR="00A81AFE">
        <w:rPr>
          <w:rFonts w:asciiTheme="minorHAnsi" w:hAnsiTheme="minorHAnsi" w:cstheme="minorHAnsi"/>
        </w:rPr>
        <w:t xml:space="preserve"> volgen</w:t>
      </w:r>
      <w:r w:rsidR="000937C2">
        <w:rPr>
          <w:rFonts w:asciiTheme="minorHAnsi" w:hAnsiTheme="minorHAnsi" w:cstheme="minorHAnsi"/>
        </w:rPr>
        <w:t xml:space="preserve"> het Hof van Justitie </w:t>
      </w:r>
      <w:r w:rsidR="00F970E0">
        <w:rPr>
          <w:rFonts w:asciiTheme="minorHAnsi" w:hAnsiTheme="minorHAnsi" w:cstheme="minorHAnsi"/>
        </w:rPr>
        <w:t>tevens</w:t>
      </w:r>
      <w:r w:rsidR="00A31FA6">
        <w:rPr>
          <w:rFonts w:asciiTheme="minorHAnsi" w:hAnsiTheme="minorHAnsi" w:cstheme="minorHAnsi"/>
        </w:rPr>
        <w:t xml:space="preserve"> </w:t>
      </w:r>
      <w:r w:rsidR="00E758FE" w:rsidRPr="00FF63BF">
        <w:rPr>
          <w:rFonts w:asciiTheme="minorHAnsi" w:hAnsiTheme="minorHAnsi" w:cstheme="minorHAnsi"/>
        </w:rPr>
        <w:t>bescherming</w:t>
      </w:r>
      <w:r w:rsidR="006C5327">
        <w:rPr>
          <w:rFonts w:asciiTheme="minorHAnsi" w:hAnsiTheme="minorHAnsi" w:cstheme="minorHAnsi"/>
        </w:rPr>
        <w:t xml:space="preserve"> tegenover producenten en uitzenders</w:t>
      </w:r>
      <w:r w:rsidR="00E758FE" w:rsidRPr="00FF63BF">
        <w:rPr>
          <w:rFonts w:asciiTheme="minorHAnsi" w:hAnsiTheme="minorHAnsi" w:cstheme="minorHAnsi"/>
        </w:rPr>
        <w:t>.</w:t>
      </w:r>
      <w:r w:rsidR="00E758FE">
        <w:rPr>
          <w:rStyle w:val="Voetnootmarkering"/>
          <w:rFonts w:asciiTheme="minorHAnsi" w:hAnsiTheme="minorHAnsi" w:cstheme="minorHAnsi"/>
        </w:rPr>
        <w:footnoteReference w:id="17"/>
      </w:r>
      <w:r w:rsidR="00E758FE">
        <w:rPr>
          <w:rFonts w:asciiTheme="minorHAnsi" w:hAnsiTheme="minorHAnsi" w:cstheme="minorHAnsi"/>
        </w:rPr>
        <w:t xml:space="preserve"> A</w:t>
      </w:r>
      <w:r w:rsidRPr="00FF63BF">
        <w:rPr>
          <w:rFonts w:asciiTheme="minorHAnsi" w:hAnsiTheme="minorHAnsi" w:cstheme="minorHAnsi"/>
        </w:rPr>
        <w:t xml:space="preserve">uteursrechten naar Europees recht </w:t>
      </w:r>
      <w:r w:rsidR="00E758FE">
        <w:rPr>
          <w:rFonts w:asciiTheme="minorHAnsi" w:hAnsiTheme="minorHAnsi" w:cstheme="minorHAnsi"/>
        </w:rPr>
        <w:t xml:space="preserve">zullen </w:t>
      </w:r>
      <w:r w:rsidRPr="00FF63BF">
        <w:rPr>
          <w:rFonts w:asciiTheme="minorHAnsi" w:hAnsiTheme="minorHAnsi" w:cstheme="minorHAnsi"/>
        </w:rPr>
        <w:t>altijd bij de natuurlijke persoon als feitelijke maker ontstaan en niet van rechtswege bij een rechtspersoon kunnen worden gelegd.</w:t>
      </w:r>
      <w:r w:rsidR="00E758FE">
        <w:rPr>
          <w:rStyle w:val="Voetnootmarkering"/>
          <w:rFonts w:asciiTheme="minorHAnsi" w:hAnsiTheme="minorHAnsi" w:cstheme="minorHAnsi"/>
        </w:rPr>
        <w:footnoteReference w:id="18"/>
      </w:r>
      <w:r w:rsidRPr="00FF63BF">
        <w:rPr>
          <w:rFonts w:asciiTheme="minorHAnsi" w:hAnsiTheme="minorHAnsi" w:cstheme="minorHAnsi"/>
        </w:rPr>
        <w:t xml:space="preserve"> </w:t>
      </w:r>
      <w:r w:rsidR="005E0E95" w:rsidRPr="00FF63BF">
        <w:rPr>
          <w:rFonts w:asciiTheme="minorHAnsi" w:hAnsiTheme="minorHAnsi" w:cstheme="minorHAnsi"/>
        </w:rPr>
        <w:t>H</w:t>
      </w:r>
      <w:r w:rsidRPr="00FF63BF">
        <w:rPr>
          <w:rFonts w:asciiTheme="minorHAnsi" w:hAnsiTheme="minorHAnsi" w:cstheme="minorHAnsi"/>
        </w:rPr>
        <w:t xml:space="preserve">un rechten kunnen </w:t>
      </w:r>
      <w:r w:rsidR="00E758FE">
        <w:rPr>
          <w:rFonts w:asciiTheme="minorHAnsi" w:hAnsiTheme="minorHAnsi" w:cstheme="minorHAnsi"/>
        </w:rPr>
        <w:t xml:space="preserve">dus </w:t>
      </w:r>
      <w:r w:rsidRPr="00FF63BF">
        <w:rPr>
          <w:rFonts w:asciiTheme="minorHAnsi" w:hAnsiTheme="minorHAnsi" w:cstheme="minorHAnsi"/>
        </w:rPr>
        <w:t>worden overgedragen, maar niet bij voorbaat worden ontnomen. Als dat beginsel ook voor filmmakers geldt, zouden de Amerikaanse filmmakers naar Europees recht als maker moeten worden beschouwd, waarna overdracht aan de producent plaatsvindt en de vergoedingsaanspraak ontstaat.</w:t>
      </w:r>
    </w:p>
    <w:p w14:paraId="6DF7E752" w14:textId="5C706CA1"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De rechtbank, gevolgd door het standpunt van prof. </w:t>
      </w:r>
      <w:proofErr w:type="spellStart"/>
      <w:r w:rsidRPr="00FF63BF">
        <w:rPr>
          <w:rFonts w:asciiTheme="minorHAnsi" w:hAnsiTheme="minorHAnsi" w:cstheme="minorHAnsi"/>
        </w:rPr>
        <w:t>Hugenholtz</w:t>
      </w:r>
      <w:proofErr w:type="spellEnd"/>
      <w:r w:rsidRPr="00FF63BF">
        <w:rPr>
          <w:rFonts w:asciiTheme="minorHAnsi" w:hAnsiTheme="minorHAnsi" w:cstheme="minorHAnsi"/>
        </w:rPr>
        <w:t>, verwerpt dit betoog</w:t>
      </w:r>
      <w:r w:rsidR="000937C2">
        <w:rPr>
          <w:rFonts w:asciiTheme="minorHAnsi" w:hAnsiTheme="minorHAnsi" w:cstheme="minorHAnsi"/>
        </w:rPr>
        <w:t>.</w:t>
      </w:r>
      <w:r w:rsidRPr="00FF63BF">
        <w:rPr>
          <w:rFonts w:asciiTheme="minorHAnsi" w:hAnsiTheme="minorHAnsi" w:cstheme="minorHAnsi"/>
        </w:rPr>
        <w:t xml:space="preserve"> </w:t>
      </w:r>
      <w:r w:rsidR="000937C2">
        <w:rPr>
          <w:rFonts w:asciiTheme="minorHAnsi" w:hAnsiTheme="minorHAnsi" w:cstheme="minorHAnsi"/>
        </w:rPr>
        <w:t>A</w:t>
      </w:r>
      <w:r w:rsidRPr="00FF63BF">
        <w:rPr>
          <w:rFonts w:asciiTheme="minorHAnsi" w:hAnsiTheme="minorHAnsi" w:cstheme="minorHAnsi"/>
        </w:rPr>
        <w:t xml:space="preserve">rtikel 45d lid 2 </w:t>
      </w:r>
      <w:proofErr w:type="spellStart"/>
      <w:r w:rsidRPr="00FF63BF">
        <w:rPr>
          <w:rFonts w:asciiTheme="minorHAnsi" w:hAnsiTheme="minorHAnsi" w:cstheme="minorHAnsi"/>
        </w:rPr>
        <w:t>Aw</w:t>
      </w:r>
      <w:proofErr w:type="spellEnd"/>
      <w:r w:rsidRPr="00FF63BF">
        <w:rPr>
          <w:rFonts w:asciiTheme="minorHAnsi" w:hAnsiTheme="minorHAnsi" w:cstheme="minorHAnsi"/>
        </w:rPr>
        <w:t xml:space="preserve"> is geen volledig geharmoniseerd Unierechtelijk recht</w:t>
      </w:r>
      <w:r w:rsidR="00575DCC">
        <w:rPr>
          <w:rFonts w:asciiTheme="minorHAnsi" w:hAnsiTheme="minorHAnsi" w:cstheme="minorHAnsi"/>
        </w:rPr>
        <w:t>,</w:t>
      </w:r>
      <w:r w:rsidRPr="00FF63BF">
        <w:rPr>
          <w:rFonts w:asciiTheme="minorHAnsi" w:hAnsiTheme="minorHAnsi" w:cstheme="minorHAnsi"/>
        </w:rPr>
        <w:t xml:space="preserve"> maar een nationale implementatiekeuze.</w:t>
      </w:r>
      <w:r w:rsidRPr="00FF63BF">
        <w:rPr>
          <w:rStyle w:val="Voetnootmarkering"/>
          <w:rFonts w:asciiTheme="minorHAnsi" w:hAnsiTheme="minorHAnsi" w:cstheme="minorHAnsi"/>
        </w:rPr>
        <w:footnoteReference w:id="19"/>
      </w:r>
      <w:r w:rsidRPr="00FF63BF">
        <w:rPr>
          <w:rFonts w:asciiTheme="minorHAnsi" w:hAnsiTheme="minorHAnsi" w:cstheme="minorHAnsi"/>
        </w:rPr>
        <w:t xml:space="preserve"> </w:t>
      </w:r>
      <w:r w:rsidR="00575DCC">
        <w:rPr>
          <w:rFonts w:asciiTheme="minorHAnsi" w:hAnsiTheme="minorHAnsi" w:cstheme="minorHAnsi"/>
        </w:rPr>
        <w:t xml:space="preserve">Uit de DSM-richtlijn volgt namelijk dat </w:t>
      </w:r>
      <w:r w:rsidRPr="00FF63BF">
        <w:rPr>
          <w:rFonts w:asciiTheme="minorHAnsi" w:hAnsiTheme="minorHAnsi" w:cstheme="minorHAnsi"/>
        </w:rPr>
        <w:t xml:space="preserve">lidstaten vrij </w:t>
      </w:r>
      <w:r w:rsidR="00575DCC">
        <w:rPr>
          <w:rFonts w:asciiTheme="minorHAnsi" w:hAnsiTheme="minorHAnsi" w:cstheme="minorHAnsi"/>
        </w:rPr>
        <w:t>zijn</w:t>
      </w:r>
      <w:r w:rsidR="008B1069">
        <w:rPr>
          <w:rFonts w:asciiTheme="minorHAnsi" w:hAnsiTheme="minorHAnsi" w:cstheme="minorHAnsi"/>
        </w:rPr>
        <w:t xml:space="preserve"> </w:t>
      </w:r>
      <w:r w:rsidR="00E92CE1">
        <w:rPr>
          <w:rFonts w:asciiTheme="minorHAnsi" w:hAnsiTheme="minorHAnsi" w:cstheme="minorHAnsi"/>
        </w:rPr>
        <w:t>om een passende vergoeding te bepalen</w:t>
      </w:r>
      <w:r w:rsidRPr="00FF63BF">
        <w:rPr>
          <w:rStyle w:val="Voetnootmarkering"/>
          <w:rFonts w:asciiTheme="minorHAnsi" w:hAnsiTheme="minorHAnsi" w:cstheme="minorHAnsi"/>
        </w:rPr>
        <w:footnoteReference w:id="20"/>
      </w:r>
      <w:r w:rsidRPr="00FF63BF">
        <w:rPr>
          <w:rFonts w:asciiTheme="minorHAnsi" w:hAnsiTheme="minorHAnsi" w:cstheme="minorHAnsi"/>
        </w:rPr>
        <w:t xml:space="preserve"> Hoewel deze redenering op zichzelf verdedigbaar is, gaat zij langs de kern van het betoog heen. De Guilds stelden niet dat de vergoedingsregel volledig Europees geharmoniseerd is, maar dat het begrip 'auteur' in de DSM-richtlijn Europees-autonoom moet </w:t>
      </w:r>
      <w:r w:rsidRPr="00FF63BF">
        <w:rPr>
          <w:rFonts w:asciiTheme="minorHAnsi" w:hAnsiTheme="minorHAnsi" w:cstheme="minorHAnsi"/>
        </w:rPr>
        <w:lastRenderedPageBreak/>
        <w:t>worden uitgelegd zodra men binnen de werkingssfeer van de richtlijn opereert. Die vraag laat de rechtbank onbeantwoord.</w:t>
      </w:r>
    </w:p>
    <w:p w14:paraId="4C08BC61" w14:textId="12C30BF7" w:rsidR="00FF63BF"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Daarnaast is de redenering dat de filmmakers 'al een passende vergoeding ontvangen' via de Guilds problematisch.</w:t>
      </w:r>
      <w:r w:rsidRPr="00FF63BF">
        <w:rPr>
          <w:rStyle w:val="Voetnootmarkering"/>
          <w:rFonts w:asciiTheme="minorHAnsi" w:hAnsiTheme="minorHAnsi" w:cstheme="minorHAnsi"/>
        </w:rPr>
        <w:footnoteReference w:id="21"/>
      </w:r>
      <w:r w:rsidRPr="00FF63BF">
        <w:rPr>
          <w:rFonts w:asciiTheme="minorHAnsi" w:hAnsiTheme="minorHAnsi" w:cstheme="minorHAnsi"/>
        </w:rPr>
        <w:t xml:space="preserve"> De vergoeding via de </w:t>
      </w:r>
      <w:proofErr w:type="spellStart"/>
      <w:r w:rsidRPr="00FF63BF">
        <w:rPr>
          <w:rFonts w:asciiTheme="minorHAnsi" w:hAnsiTheme="minorHAnsi" w:cstheme="minorHAnsi"/>
        </w:rPr>
        <w:t>MBA's</w:t>
      </w:r>
      <w:proofErr w:type="spellEnd"/>
      <w:r w:rsidRPr="00FF63BF">
        <w:rPr>
          <w:rFonts w:asciiTheme="minorHAnsi" w:hAnsiTheme="minorHAnsi" w:cstheme="minorHAnsi"/>
        </w:rPr>
        <w:t xml:space="preserve"> is een contractuele, arbeidsrechtelijke beloning voor creatieve arbeid in de VS. De vergoeding van artikel 45d lid 2</w:t>
      </w:r>
      <w:r w:rsidR="00C53682">
        <w:rPr>
          <w:rFonts w:asciiTheme="minorHAnsi" w:hAnsiTheme="minorHAnsi" w:cstheme="minorHAnsi"/>
        </w:rPr>
        <w:t xml:space="preserve"> </w:t>
      </w:r>
      <w:proofErr w:type="spellStart"/>
      <w:r w:rsidR="00C53682">
        <w:rPr>
          <w:rFonts w:asciiTheme="minorHAnsi" w:hAnsiTheme="minorHAnsi" w:cstheme="minorHAnsi"/>
        </w:rPr>
        <w:t>Aw</w:t>
      </w:r>
      <w:proofErr w:type="spellEnd"/>
      <w:r w:rsidRPr="00FF63BF">
        <w:rPr>
          <w:rFonts w:asciiTheme="minorHAnsi" w:hAnsiTheme="minorHAnsi" w:cstheme="minorHAnsi"/>
        </w:rPr>
        <w:t xml:space="preserve"> heeft </w:t>
      </w:r>
      <w:r w:rsidR="000A3122">
        <w:rPr>
          <w:rFonts w:asciiTheme="minorHAnsi" w:hAnsiTheme="minorHAnsi" w:cstheme="minorHAnsi"/>
        </w:rPr>
        <w:t>een</w:t>
      </w:r>
      <w:r w:rsidRPr="00FF63BF">
        <w:rPr>
          <w:rFonts w:asciiTheme="minorHAnsi" w:hAnsiTheme="minorHAnsi" w:cstheme="minorHAnsi"/>
        </w:rPr>
        <w:t xml:space="preserve"> andere grondslag: het is een auteursrechtelijke vergoeding voor uitzending door een derde in Europa. Door beide op één hoop te gooien, miskent de rechtbank de beschermingsdoelstelling van de DSM-richtlijn, die juist beoogt de ongelijkheid tussen de maker als natuurlijk persoon en grote professionele exploitanten op te heffen.</w:t>
      </w:r>
    </w:p>
    <w:p w14:paraId="3F42D8E5" w14:textId="77777777" w:rsidR="00EB270B" w:rsidRDefault="00EB270B" w:rsidP="00FF63BF">
      <w:pPr>
        <w:spacing w:after="160"/>
        <w:jc w:val="both"/>
        <w:rPr>
          <w:rFonts w:asciiTheme="minorHAnsi" w:hAnsiTheme="minorHAnsi" w:cstheme="minorHAnsi"/>
          <w:b/>
          <w:bCs/>
        </w:rPr>
      </w:pPr>
    </w:p>
    <w:p w14:paraId="67D583B5" w14:textId="5C9AF200" w:rsidR="00975898" w:rsidRPr="00FF63BF" w:rsidRDefault="004770B1" w:rsidP="00F41181">
      <w:pPr>
        <w:jc w:val="both"/>
        <w:rPr>
          <w:rFonts w:asciiTheme="minorHAnsi" w:hAnsiTheme="minorHAnsi" w:cstheme="minorHAnsi"/>
        </w:rPr>
      </w:pPr>
      <w:r>
        <w:rPr>
          <w:rFonts w:asciiTheme="minorHAnsi" w:hAnsiTheme="minorHAnsi" w:cstheme="minorHAnsi"/>
          <w:b/>
          <w:bCs/>
        </w:rPr>
        <w:t>5</w:t>
      </w:r>
      <w:r w:rsidRPr="00FF63BF">
        <w:rPr>
          <w:rFonts w:asciiTheme="minorHAnsi" w:hAnsiTheme="minorHAnsi" w:cstheme="minorHAnsi"/>
          <w:b/>
          <w:bCs/>
        </w:rPr>
        <w:t>. Het assimilatiebeginsel: een cirkelredenering</w:t>
      </w:r>
    </w:p>
    <w:p w14:paraId="052AB516" w14:textId="77777777"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Het assimilatiebeginsel van artikel 5 lid 1 Berner Conventie verplicht verdragstaten buitenlandse auteurs dezelfde bescherming te verlenen als eigen onderdanen.</w:t>
      </w:r>
      <w:r w:rsidRPr="00FF63BF">
        <w:rPr>
          <w:rStyle w:val="Voetnootmarkering"/>
          <w:rFonts w:asciiTheme="minorHAnsi" w:hAnsiTheme="minorHAnsi" w:cstheme="minorHAnsi"/>
        </w:rPr>
        <w:footnoteReference w:id="22"/>
      </w:r>
      <w:r w:rsidRPr="00FF63BF">
        <w:rPr>
          <w:rFonts w:asciiTheme="minorHAnsi" w:hAnsiTheme="minorHAnsi" w:cstheme="minorHAnsi"/>
        </w:rPr>
        <w:t xml:space="preserve"> De rechtbank laat in het midden of het vergoedingsrecht van artikel 45d lid 2 </w:t>
      </w:r>
      <w:proofErr w:type="spellStart"/>
      <w:r w:rsidRPr="00FF63BF">
        <w:rPr>
          <w:rFonts w:asciiTheme="minorHAnsi" w:hAnsiTheme="minorHAnsi" w:cstheme="minorHAnsi"/>
        </w:rPr>
        <w:t>Aw</w:t>
      </w:r>
      <w:proofErr w:type="spellEnd"/>
      <w:r w:rsidRPr="00FF63BF">
        <w:rPr>
          <w:rFonts w:asciiTheme="minorHAnsi" w:hAnsiTheme="minorHAnsi" w:cstheme="minorHAnsi"/>
        </w:rPr>
        <w:t xml:space="preserve"> een 'recht' is in de zin van de Conventie, en redeneert dat ook als het assimilatiebeginsel van toepassing is, dit niet tot een vergoedingsaanspraak leidt vanwege het WMFH-systeem.</w:t>
      </w:r>
      <w:r w:rsidRPr="00FF63BF">
        <w:rPr>
          <w:rStyle w:val="Voetnootmarkering"/>
          <w:rFonts w:asciiTheme="minorHAnsi" w:hAnsiTheme="minorHAnsi" w:cstheme="minorHAnsi"/>
        </w:rPr>
        <w:footnoteReference w:id="23"/>
      </w:r>
    </w:p>
    <w:p w14:paraId="5271C9E8" w14:textId="34A37C31"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Deze redenering is circulair. Het assimilatiebeginsel veronderstelt dat de buitenlandse auteur wordt beoordeeld alsof hij onder het recht van het beschermingsland valt. Toegepast op deze zaak betekent dat: de Amerikaanse filmmaker moet worden behandeld als een Nederlandse filmmaker. Een Nederlandse filmmaker die als zelfstandig opdrachtnemer creatief werk levert, is naar Nederlands recht de maker</w:t>
      </w:r>
      <w:r w:rsidR="00981C4B" w:rsidRPr="00FF63BF">
        <w:rPr>
          <w:rStyle w:val="Voetnootmarkering"/>
          <w:rFonts w:asciiTheme="minorHAnsi" w:hAnsiTheme="minorHAnsi" w:cstheme="minorHAnsi"/>
        </w:rPr>
        <w:footnoteReference w:id="24"/>
      </w:r>
      <w:r w:rsidRPr="00FF63BF">
        <w:rPr>
          <w:rFonts w:asciiTheme="minorHAnsi" w:hAnsiTheme="minorHAnsi" w:cstheme="minorHAnsi"/>
        </w:rPr>
        <w:t xml:space="preserve"> en zou via het overdrachtsvermoeden van lid 1 wél recht hebben op de vergoeding van artikel 45d lid 2 </w:t>
      </w:r>
      <w:proofErr w:type="spellStart"/>
      <w:r w:rsidRPr="00FF63BF">
        <w:rPr>
          <w:rFonts w:asciiTheme="minorHAnsi" w:hAnsiTheme="minorHAnsi" w:cstheme="minorHAnsi"/>
        </w:rPr>
        <w:t>Aw</w:t>
      </w:r>
      <w:proofErr w:type="spellEnd"/>
      <w:r w:rsidRPr="00FF63BF">
        <w:rPr>
          <w:rFonts w:asciiTheme="minorHAnsi" w:hAnsiTheme="minorHAnsi" w:cstheme="minorHAnsi"/>
        </w:rPr>
        <w:t>.</w:t>
      </w:r>
    </w:p>
    <w:p w14:paraId="7A63B3C4" w14:textId="0C886AEF" w:rsidR="00163180"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De rechtbank omzeilt dit door het WMFH-oordeel </w:t>
      </w:r>
      <w:r w:rsidR="00981C4B" w:rsidRPr="00FF63BF">
        <w:rPr>
          <w:rFonts w:asciiTheme="minorHAnsi" w:hAnsiTheme="minorHAnsi" w:cstheme="minorHAnsi"/>
        </w:rPr>
        <w:t xml:space="preserve">ook </w:t>
      </w:r>
      <w:r w:rsidRPr="00FF63BF">
        <w:rPr>
          <w:rFonts w:asciiTheme="minorHAnsi" w:hAnsiTheme="minorHAnsi" w:cstheme="minorHAnsi"/>
        </w:rPr>
        <w:t xml:space="preserve">in de assimilatietoets in te voeren. Zij gebruikt het Amerikaanse recht zo tweemaal: eerst om het </w:t>
      </w:r>
      <w:proofErr w:type="spellStart"/>
      <w:r w:rsidRPr="00FF63BF">
        <w:rPr>
          <w:rFonts w:asciiTheme="minorHAnsi" w:hAnsiTheme="minorHAnsi" w:cstheme="minorHAnsi"/>
        </w:rPr>
        <w:t>makerschap</w:t>
      </w:r>
      <w:proofErr w:type="spellEnd"/>
      <w:r w:rsidRPr="00FF63BF">
        <w:rPr>
          <w:rFonts w:asciiTheme="minorHAnsi" w:hAnsiTheme="minorHAnsi" w:cstheme="minorHAnsi"/>
        </w:rPr>
        <w:t xml:space="preserve"> te ontzeggen via de lex </w:t>
      </w:r>
      <w:proofErr w:type="spellStart"/>
      <w:r w:rsidRPr="00FF63BF">
        <w:rPr>
          <w:rFonts w:asciiTheme="minorHAnsi" w:hAnsiTheme="minorHAnsi" w:cstheme="minorHAnsi"/>
        </w:rPr>
        <w:t>originis</w:t>
      </w:r>
      <w:proofErr w:type="spellEnd"/>
      <w:r w:rsidRPr="00FF63BF">
        <w:rPr>
          <w:rFonts w:asciiTheme="minorHAnsi" w:hAnsiTheme="minorHAnsi" w:cstheme="minorHAnsi"/>
        </w:rPr>
        <w:t>, en daarna opnieuw om de assimilatietoets inhoudsloos te maken. De kern van het beginsel</w:t>
      </w:r>
      <w:r w:rsidR="00981C4B" w:rsidRPr="00FF63BF">
        <w:rPr>
          <w:rFonts w:asciiTheme="minorHAnsi" w:hAnsiTheme="minorHAnsi" w:cstheme="minorHAnsi"/>
        </w:rPr>
        <w:t>, namelijk</w:t>
      </w:r>
      <w:r w:rsidRPr="00FF63BF">
        <w:rPr>
          <w:rFonts w:asciiTheme="minorHAnsi" w:hAnsiTheme="minorHAnsi" w:cstheme="minorHAnsi"/>
        </w:rPr>
        <w:t xml:space="preserve"> gelijkstelling aan de binnenlandse maker</w:t>
      </w:r>
      <w:r w:rsidR="00981C4B" w:rsidRPr="00FF63BF">
        <w:rPr>
          <w:rFonts w:asciiTheme="minorHAnsi" w:hAnsiTheme="minorHAnsi" w:cstheme="minorHAnsi"/>
        </w:rPr>
        <w:t xml:space="preserve">, </w:t>
      </w:r>
      <w:r w:rsidRPr="00FF63BF">
        <w:rPr>
          <w:rFonts w:asciiTheme="minorHAnsi" w:hAnsiTheme="minorHAnsi" w:cstheme="minorHAnsi"/>
        </w:rPr>
        <w:t>wordt daarmee nooit werkelijk getoetst. De rechtbank had moeten vragen wat de rechtspositie</w:t>
      </w:r>
      <w:r w:rsidR="0050573F">
        <w:rPr>
          <w:rFonts w:asciiTheme="minorHAnsi" w:hAnsiTheme="minorHAnsi" w:cstheme="minorHAnsi"/>
        </w:rPr>
        <w:t xml:space="preserve"> zou</w:t>
      </w:r>
      <w:r w:rsidRPr="00FF63BF">
        <w:rPr>
          <w:rFonts w:asciiTheme="minorHAnsi" w:hAnsiTheme="minorHAnsi" w:cstheme="minorHAnsi"/>
        </w:rPr>
        <w:t xml:space="preserve"> zijn als deze persoon naar Nederlands recht als maker werd beschouwd? Die toets voert zij niet uit.</w:t>
      </w:r>
      <w:r w:rsidR="00163180">
        <w:rPr>
          <w:rFonts w:asciiTheme="minorHAnsi" w:hAnsiTheme="minorHAnsi" w:cstheme="minorHAnsi"/>
        </w:rPr>
        <w:t xml:space="preserve"> </w:t>
      </w:r>
      <w:r w:rsidR="00163180" w:rsidRPr="006E1F8E">
        <w:rPr>
          <w:rFonts w:asciiTheme="minorHAnsi" w:hAnsiTheme="minorHAnsi" w:cstheme="minorHAnsi"/>
        </w:rPr>
        <w:t>Die werkwijze staat bovendien op gespannen voet met het on</w:t>
      </w:r>
      <w:r w:rsidR="00E11593" w:rsidRPr="006E1F8E">
        <w:rPr>
          <w:rFonts w:asciiTheme="minorHAnsi" w:hAnsiTheme="minorHAnsi" w:cstheme="minorHAnsi"/>
        </w:rPr>
        <w:t>afhankelijkheidsbeginsel van art. 5 lid 2 Berner Conventie. Het Amerikaanse recht mag juist geen rol spelen bij de beoordeling van de bescherming die het Nederlandse recht aan de buitenlandse auteur verleent.</w:t>
      </w:r>
      <w:r w:rsidR="00E11593" w:rsidRPr="006E1F8E">
        <w:rPr>
          <w:rStyle w:val="Voetnootmarkering"/>
          <w:rFonts w:asciiTheme="minorHAnsi" w:hAnsiTheme="minorHAnsi" w:cstheme="minorHAnsi"/>
        </w:rPr>
        <w:footnoteReference w:id="25"/>
      </w:r>
    </w:p>
    <w:p w14:paraId="2941132C" w14:textId="77777777" w:rsidR="00EB270B" w:rsidRDefault="00EB270B" w:rsidP="00FF63BF">
      <w:pPr>
        <w:spacing w:after="160"/>
        <w:jc w:val="both"/>
        <w:rPr>
          <w:rFonts w:asciiTheme="minorHAnsi" w:hAnsiTheme="minorHAnsi" w:cstheme="minorHAnsi"/>
          <w:b/>
          <w:bCs/>
        </w:rPr>
      </w:pPr>
    </w:p>
    <w:p w14:paraId="446D6151" w14:textId="0287A7E8" w:rsidR="00975898" w:rsidRPr="00FF63BF" w:rsidRDefault="004770B1" w:rsidP="00F41181">
      <w:pPr>
        <w:jc w:val="both"/>
        <w:rPr>
          <w:rFonts w:asciiTheme="minorHAnsi" w:hAnsiTheme="minorHAnsi" w:cstheme="minorHAnsi"/>
        </w:rPr>
      </w:pPr>
      <w:r>
        <w:rPr>
          <w:rFonts w:asciiTheme="minorHAnsi" w:hAnsiTheme="minorHAnsi" w:cstheme="minorHAnsi"/>
          <w:b/>
          <w:bCs/>
        </w:rPr>
        <w:t>6</w:t>
      </w:r>
      <w:r w:rsidRPr="00FF63BF">
        <w:rPr>
          <w:rFonts w:asciiTheme="minorHAnsi" w:hAnsiTheme="minorHAnsi" w:cstheme="minorHAnsi"/>
          <w:b/>
          <w:bCs/>
        </w:rPr>
        <w:t>. Bredere context en conclusie</w:t>
      </w:r>
    </w:p>
    <w:p w14:paraId="333B3792" w14:textId="22BC3F72"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Dit vonnis staat haaks op de grote trend die het Europese auteursrecht kenmerkt. De DSM-richtlijn uit 2019 beoogt uitdrukkelijk de positie van individuele makers tegenover grote producenten en </w:t>
      </w:r>
      <w:r w:rsidR="004F77D1">
        <w:rPr>
          <w:rFonts w:asciiTheme="minorHAnsi" w:hAnsiTheme="minorHAnsi" w:cstheme="minorHAnsi"/>
        </w:rPr>
        <w:t>uitzenders</w:t>
      </w:r>
      <w:r w:rsidRPr="00FF63BF">
        <w:rPr>
          <w:rFonts w:asciiTheme="minorHAnsi" w:hAnsiTheme="minorHAnsi" w:cstheme="minorHAnsi"/>
        </w:rPr>
        <w:t xml:space="preserve"> te versterken.</w:t>
      </w:r>
      <w:r w:rsidRPr="00FF63BF">
        <w:rPr>
          <w:rStyle w:val="Voetnootmarkering"/>
          <w:rFonts w:asciiTheme="minorHAnsi" w:hAnsiTheme="minorHAnsi" w:cstheme="minorHAnsi"/>
        </w:rPr>
        <w:footnoteReference w:id="26"/>
      </w:r>
      <w:r w:rsidRPr="00FF63BF">
        <w:rPr>
          <w:rFonts w:asciiTheme="minorHAnsi" w:hAnsiTheme="minorHAnsi" w:cstheme="minorHAnsi"/>
        </w:rPr>
        <w:t xml:space="preserve"> Door het WMFH-systeem te accepteren via de lex </w:t>
      </w:r>
      <w:proofErr w:type="spellStart"/>
      <w:r w:rsidRPr="00FF63BF">
        <w:rPr>
          <w:rFonts w:asciiTheme="minorHAnsi" w:hAnsiTheme="minorHAnsi" w:cstheme="minorHAnsi"/>
        </w:rPr>
        <w:t>originis</w:t>
      </w:r>
      <w:proofErr w:type="spellEnd"/>
      <w:r w:rsidRPr="00FF63BF">
        <w:rPr>
          <w:rFonts w:asciiTheme="minorHAnsi" w:hAnsiTheme="minorHAnsi" w:cstheme="minorHAnsi"/>
        </w:rPr>
        <w:t xml:space="preserve">, bereikt het vonnis het tegenovergestelde: een Nederlandse regisseur in exact dezelfde feitelijke </w:t>
      </w:r>
      <w:r w:rsidRPr="00FF63BF">
        <w:rPr>
          <w:rFonts w:asciiTheme="minorHAnsi" w:hAnsiTheme="minorHAnsi" w:cstheme="minorHAnsi"/>
        </w:rPr>
        <w:lastRenderedPageBreak/>
        <w:t xml:space="preserve">omstandigheid zou wél recht hebben op de vergoeding van Ziggo, terwijl zijn Amerikaanse collega die rechten bij voorbaat heeft verloren door een contractueel beding naar Amerikaans recht. </w:t>
      </w:r>
    </w:p>
    <w:p w14:paraId="01CF9909" w14:textId="78E60965" w:rsidR="00975898" w:rsidRPr="00FF63BF" w:rsidRDefault="005C3F98" w:rsidP="00FF63BF">
      <w:pPr>
        <w:spacing w:after="160"/>
        <w:jc w:val="both"/>
        <w:rPr>
          <w:rFonts w:asciiTheme="minorHAnsi" w:hAnsiTheme="minorHAnsi" w:cstheme="minorHAnsi"/>
        </w:rPr>
      </w:pPr>
      <w:r w:rsidRPr="00FF63BF">
        <w:rPr>
          <w:rFonts w:asciiTheme="minorHAnsi" w:hAnsiTheme="minorHAnsi" w:cstheme="minorHAnsi"/>
        </w:rPr>
        <w:t xml:space="preserve">Het vonnis is </w:t>
      </w:r>
      <w:r w:rsidR="00C6745D">
        <w:rPr>
          <w:rFonts w:asciiTheme="minorHAnsi" w:hAnsiTheme="minorHAnsi" w:cstheme="minorHAnsi"/>
        </w:rPr>
        <w:t xml:space="preserve">wat betreft de volgorde van </w:t>
      </w:r>
      <w:r w:rsidR="00F727A0">
        <w:rPr>
          <w:rFonts w:asciiTheme="minorHAnsi" w:hAnsiTheme="minorHAnsi" w:cstheme="minorHAnsi"/>
        </w:rPr>
        <w:t xml:space="preserve">toetsing goed </w:t>
      </w:r>
      <w:r w:rsidR="008D15C1">
        <w:rPr>
          <w:rFonts w:asciiTheme="minorHAnsi" w:hAnsiTheme="minorHAnsi" w:cstheme="minorHAnsi"/>
        </w:rPr>
        <w:t>te volgen</w:t>
      </w:r>
      <w:r w:rsidRPr="00FF63BF">
        <w:rPr>
          <w:rFonts w:asciiTheme="minorHAnsi" w:hAnsiTheme="minorHAnsi" w:cstheme="minorHAnsi"/>
        </w:rPr>
        <w:t xml:space="preserve"> maar </w:t>
      </w:r>
      <w:r w:rsidR="005637F1">
        <w:rPr>
          <w:rFonts w:asciiTheme="minorHAnsi" w:hAnsiTheme="minorHAnsi" w:cstheme="minorHAnsi"/>
        </w:rPr>
        <w:t xml:space="preserve">het </w:t>
      </w:r>
      <w:r w:rsidRPr="00FF63BF">
        <w:rPr>
          <w:rFonts w:asciiTheme="minorHAnsi" w:hAnsiTheme="minorHAnsi" w:cstheme="minorHAnsi"/>
        </w:rPr>
        <w:t xml:space="preserve">berust op een reeks betwistbare keuzes die elkaar in stand houden. </w:t>
      </w:r>
      <w:r w:rsidRPr="006E1F8E">
        <w:rPr>
          <w:rFonts w:asciiTheme="minorHAnsi" w:hAnsiTheme="minorHAnsi" w:cstheme="minorHAnsi"/>
        </w:rPr>
        <w:t xml:space="preserve">De keuze voor de lex </w:t>
      </w:r>
      <w:proofErr w:type="spellStart"/>
      <w:r w:rsidRPr="006E1F8E">
        <w:rPr>
          <w:rFonts w:asciiTheme="minorHAnsi" w:hAnsiTheme="minorHAnsi" w:cstheme="minorHAnsi"/>
        </w:rPr>
        <w:t>originis</w:t>
      </w:r>
      <w:proofErr w:type="spellEnd"/>
      <w:r w:rsidRPr="006E1F8E">
        <w:rPr>
          <w:rFonts w:asciiTheme="minorHAnsi" w:hAnsiTheme="minorHAnsi" w:cstheme="minorHAnsi"/>
        </w:rPr>
        <w:t xml:space="preserve"> </w:t>
      </w:r>
      <w:r w:rsidR="00BC63E8" w:rsidRPr="006E1F8E">
        <w:rPr>
          <w:rFonts w:asciiTheme="minorHAnsi" w:hAnsiTheme="minorHAnsi" w:cstheme="minorHAnsi"/>
        </w:rPr>
        <w:t xml:space="preserve">als uitzondering op de regel </w:t>
      </w:r>
      <w:r w:rsidR="00F727A0" w:rsidRPr="006E1F8E">
        <w:rPr>
          <w:rFonts w:asciiTheme="minorHAnsi" w:hAnsiTheme="minorHAnsi" w:cstheme="minorHAnsi"/>
        </w:rPr>
        <w:t>staat niet vast</w:t>
      </w:r>
      <w:r w:rsidR="00BC63E8" w:rsidRPr="006E1F8E">
        <w:rPr>
          <w:rFonts w:asciiTheme="minorHAnsi" w:hAnsiTheme="minorHAnsi" w:cstheme="minorHAnsi"/>
        </w:rPr>
        <w:t>,</w:t>
      </w:r>
      <w:r w:rsidRPr="006E1F8E">
        <w:rPr>
          <w:rFonts w:asciiTheme="minorHAnsi" w:hAnsiTheme="minorHAnsi" w:cstheme="minorHAnsi"/>
        </w:rPr>
        <w:t xml:space="preserve"> </w:t>
      </w:r>
      <w:r w:rsidR="00BE0DE0" w:rsidRPr="006E1F8E">
        <w:rPr>
          <w:rFonts w:asciiTheme="minorHAnsi" w:hAnsiTheme="minorHAnsi" w:cstheme="minorHAnsi"/>
        </w:rPr>
        <w:t>waardoor het ook</w:t>
      </w:r>
      <w:r w:rsidRPr="006E1F8E">
        <w:rPr>
          <w:rFonts w:asciiTheme="minorHAnsi" w:hAnsiTheme="minorHAnsi" w:cstheme="minorHAnsi"/>
        </w:rPr>
        <w:t xml:space="preserve"> anders kunnen uitvallen</w:t>
      </w:r>
      <w:r w:rsidR="00E71150" w:rsidRPr="006E1F8E">
        <w:rPr>
          <w:rFonts w:asciiTheme="minorHAnsi" w:hAnsiTheme="minorHAnsi" w:cstheme="minorHAnsi"/>
        </w:rPr>
        <w:t xml:space="preserve"> en d</w:t>
      </w:r>
      <w:r w:rsidR="00B470DF" w:rsidRPr="006E1F8E">
        <w:rPr>
          <w:rFonts w:asciiTheme="minorHAnsi" w:hAnsiTheme="minorHAnsi" w:cstheme="minorHAnsi"/>
        </w:rPr>
        <w:t xml:space="preserve">eze mogelijkheden </w:t>
      </w:r>
      <w:r w:rsidR="00380EEC" w:rsidRPr="006E1F8E">
        <w:rPr>
          <w:rFonts w:asciiTheme="minorHAnsi" w:hAnsiTheme="minorHAnsi" w:cstheme="minorHAnsi"/>
        </w:rPr>
        <w:t>word</w:t>
      </w:r>
      <w:r w:rsidR="00B470DF" w:rsidRPr="006E1F8E">
        <w:rPr>
          <w:rFonts w:asciiTheme="minorHAnsi" w:hAnsiTheme="minorHAnsi" w:cstheme="minorHAnsi"/>
        </w:rPr>
        <w:t>en</w:t>
      </w:r>
      <w:r w:rsidR="00380EEC" w:rsidRPr="006E1F8E">
        <w:rPr>
          <w:rFonts w:asciiTheme="minorHAnsi" w:hAnsiTheme="minorHAnsi" w:cstheme="minorHAnsi"/>
        </w:rPr>
        <w:t xml:space="preserve"> in het vonnis zelden </w:t>
      </w:r>
      <w:r w:rsidR="000671D3" w:rsidRPr="006E1F8E">
        <w:rPr>
          <w:rFonts w:asciiTheme="minorHAnsi" w:hAnsiTheme="minorHAnsi" w:cstheme="minorHAnsi"/>
        </w:rPr>
        <w:t>bekeken</w:t>
      </w:r>
      <w:r w:rsidRPr="00FF63BF">
        <w:rPr>
          <w:rFonts w:asciiTheme="minorHAnsi" w:hAnsiTheme="minorHAnsi" w:cstheme="minorHAnsi"/>
        </w:rPr>
        <w:t xml:space="preserve">. De uitleg van de vangnetbepaling is </w:t>
      </w:r>
      <w:r w:rsidR="00B470DF">
        <w:rPr>
          <w:rFonts w:asciiTheme="minorHAnsi" w:hAnsiTheme="minorHAnsi" w:cstheme="minorHAnsi"/>
        </w:rPr>
        <w:t xml:space="preserve">verder </w:t>
      </w:r>
      <w:r w:rsidRPr="00FF63BF">
        <w:rPr>
          <w:rFonts w:asciiTheme="minorHAnsi" w:hAnsiTheme="minorHAnsi" w:cstheme="minorHAnsi"/>
        </w:rPr>
        <w:t>te restrictief</w:t>
      </w:r>
      <w:r w:rsidR="00B470DF">
        <w:rPr>
          <w:rFonts w:asciiTheme="minorHAnsi" w:hAnsiTheme="minorHAnsi" w:cstheme="minorHAnsi"/>
        </w:rPr>
        <w:t xml:space="preserve">, </w:t>
      </w:r>
      <w:r w:rsidR="00BE0DE0">
        <w:rPr>
          <w:rFonts w:asciiTheme="minorHAnsi" w:hAnsiTheme="minorHAnsi" w:cstheme="minorHAnsi"/>
        </w:rPr>
        <w:t>h</w:t>
      </w:r>
      <w:r w:rsidRPr="00FF63BF">
        <w:rPr>
          <w:rFonts w:asciiTheme="minorHAnsi" w:hAnsiTheme="minorHAnsi" w:cstheme="minorHAnsi"/>
        </w:rPr>
        <w:t>et Europees-autonome auteursbegrip van de DSM-richtlijn blijft onbeantwoord</w:t>
      </w:r>
      <w:r w:rsidR="00B470DF">
        <w:rPr>
          <w:rFonts w:asciiTheme="minorHAnsi" w:hAnsiTheme="minorHAnsi" w:cstheme="minorHAnsi"/>
        </w:rPr>
        <w:t xml:space="preserve"> en</w:t>
      </w:r>
      <w:r w:rsidRPr="00FF63BF">
        <w:rPr>
          <w:rFonts w:asciiTheme="minorHAnsi" w:hAnsiTheme="minorHAnsi" w:cstheme="minorHAnsi"/>
        </w:rPr>
        <w:t xml:space="preserve"> </w:t>
      </w:r>
      <w:r w:rsidR="00B470DF">
        <w:rPr>
          <w:rFonts w:asciiTheme="minorHAnsi" w:hAnsiTheme="minorHAnsi" w:cstheme="minorHAnsi"/>
        </w:rPr>
        <w:t>h</w:t>
      </w:r>
      <w:r w:rsidRPr="00FF63BF">
        <w:rPr>
          <w:rFonts w:asciiTheme="minorHAnsi" w:hAnsiTheme="minorHAnsi" w:cstheme="minorHAnsi"/>
        </w:rPr>
        <w:t>et assimilatiebeginsel wordt circulair behandeld. Al met al verdienen deze vragen nadere uitwerking</w:t>
      </w:r>
      <w:r w:rsidR="00AE4C12">
        <w:rPr>
          <w:rFonts w:asciiTheme="minorHAnsi" w:hAnsiTheme="minorHAnsi" w:cstheme="minorHAnsi"/>
        </w:rPr>
        <w:t xml:space="preserve"> in eventueel hoger beroep. </w:t>
      </w:r>
    </w:p>
    <w:p w14:paraId="142E9C34" w14:textId="77777777" w:rsidR="00975898" w:rsidRPr="00FF63BF" w:rsidRDefault="00975898" w:rsidP="00FF63BF">
      <w:pPr>
        <w:pBdr>
          <w:bottom w:val="single" w:sz="4" w:space="1" w:color="999999"/>
        </w:pBdr>
        <w:spacing w:before="120" w:after="120"/>
        <w:jc w:val="both"/>
        <w:rPr>
          <w:rFonts w:asciiTheme="minorHAnsi" w:hAnsiTheme="minorHAnsi" w:cstheme="minorHAnsi"/>
        </w:rPr>
      </w:pPr>
    </w:p>
    <w:p w14:paraId="5B2B37A1" w14:textId="77777777" w:rsidR="00975898" w:rsidRDefault="005C3F98" w:rsidP="00FF63BF">
      <w:pPr>
        <w:spacing w:after="160"/>
        <w:jc w:val="both"/>
        <w:rPr>
          <w:rFonts w:asciiTheme="minorHAnsi" w:hAnsiTheme="minorHAnsi" w:cstheme="minorHAnsi"/>
          <w:i/>
          <w:iCs/>
        </w:rPr>
      </w:pPr>
      <w:r w:rsidRPr="00FF63BF">
        <w:rPr>
          <w:rFonts w:asciiTheme="minorHAnsi" w:hAnsiTheme="minorHAnsi" w:cstheme="minorHAnsi"/>
          <w:i/>
          <w:iCs/>
        </w:rPr>
        <w:t>Annotatie bij Rb. Midden-Nederland 4 maart 2026, ECLI:NL:RBMNE:2026:558</w:t>
      </w:r>
    </w:p>
    <w:p w14:paraId="1D73BB73" w14:textId="10E6A03F" w:rsidR="00605DB5" w:rsidRPr="00FF63BF" w:rsidRDefault="00D575E2" w:rsidP="00FF63BF">
      <w:pPr>
        <w:spacing w:after="160"/>
        <w:jc w:val="both"/>
        <w:rPr>
          <w:rFonts w:asciiTheme="minorHAnsi" w:hAnsiTheme="minorHAnsi" w:cstheme="minorHAnsi"/>
        </w:rPr>
      </w:pPr>
      <w:r>
        <w:rPr>
          <w:rFonts w:asciiTheme="minorHAnsi" w:hAnsiTheme="minorHAnsi" w:cstheme="minorHAnsi"/>
          <w:i/>
          <w:iCs/>
        </w:rPr>
        <w:t xml:space="preserve">*Ik heb me gehouden aan art. 45d lid 2 </w:t>
      </w:r>
      <w:proofErr w:type="spellStart"/>
      <w:r>
        <w:rPr>
          <w:rFonts w:asciiTheme="minorHAnsi" w:hAnsiTheme="minorHAnsi" w:cstheme="minorHAnsi"/>
          <w:i/>
          <w:iCs/>
        </w:rPr>
        <w:t>Aw</w:t>
      </w:r>
      <w:proofErr w:type="spellEnd"/>
      <w:r w:rsidR="00CA3369">
        <w:rPr>
          <w:rFonts w:asciiTheme="minorHAnsi" w:hAnsiTheme="minorHAnsi" w:cstheme="minorHAnsi"/>
          <w:i/>
          <w:iCs/>
        </w:rPr>
        <w:t xml:space="preserve"> i</w:t>
      </w:r>
      <w:r w:rsidR="00841934">
        <w:rPr>
          <w:rFonts w:asciiTheme="minorHAnsi" w:hAnsiTheme="minorHAnsi" w:cstheme="minorHAnsi"/>
          <w:i/>
          <w:iCs/>
        </w:rPr>
        <w:t xml:space="preserve">n </w:t>
      </w:r>
      <w:r w:rsidR="00CA3369">
        <w:rPr>
          <w:rFonts w:asciiTheme="minorHAnsi" w:hAnsiTheme="minorHAnsi" w:cstheme="minorHAnsi"/>
          <w:i/>
          <w:iCs/>
        </w:rPr>
        <w:t>p</w:t>
      </w:r>
      <w:r w:rsidR="00841934">
        <w:rPr>
          <w:rFonts w:asciiTheme="minorHAnsi" w:hAnsiTheme="minorHAnsi" w:cstheme="minorHAnsi"/>
          <w:i/>
          <w:iCs/>
        </w:rPr>
        <w:t xml:space="preserve">laats </w:t>
      </w:r>
      <w:r w:rsidR="00CA3369">
        <w:rPr>
          <w:rFonts w:asciiTheme="minorHAnsi" w:hAnsiTheme="minorHAnsi" w:cstheme="minorHAnsi"/>
          <w:i/>
          <w:iCs/>
        </w:rPr>
        <w:t>v</w:t>
      </w:r>
      <w:r w:rsidR="00841934">
        <w:rPr>
          <w:rFonts w:asciiTheme="minorHAnsi" w:hAnsiTheme="minorHAnsi" w:cstheme="minorHAnsi"/>
          <w:i/>
          <w:iCs/>
        </w:rPr>
        <w:t>an</w:t>
      </w:r>
      <w:r w:rsidR="00CA3369">
        <w:rPr>
          <w:rFonts w:asciiTheme="minorHAnsi" w:hAnsiTheme="minorHAnsi" w:cstheme="minorHAnsi"/>
          <w:i/>
          <w:iCs/>
        </w:rPr>
        <w:t xml:space="preserve"> art. 45da lid 1 BW</w:t>
      </w:r>
      <w:r>
        <w:rPr>
          <w:rFonts w:asciiTheme="minorHAnsi" w:hAnsiTheme="minorHAnsi" w:cstheme="minorHAnsi"/>
          <w:i/>
          <w:iCs/>
        </w:rPr>
        <w:t xml:space="preserve"> aangezien dit ook het artikel is waarmee </w:t>
      </w:r>
      <w:r w:rsidR="0035573C">
        <w:rPr>
          <w:rFonts w:asciiTheme="minorHAnsi" w:hAnsiTheme="minorHAnsi" w:cstheme="minorHAnsi"/>
          <w:i/>
          <w:iCs/>
        </w:rPr>
        <w:t xml:space="preserve">de Rechtbank Midden-Nederland </w:t>
      </w:r>
      <w:r w:rsidR="00CA3369">
        <w:rPr>
          <w:rFonts w:asciiTheme="minorHAnsi" w:hAnsiTheme="minorHAnsi" w:cstheme="minorHAnsi"/>
          <w:i/>
          <w:iCs/>
        </w:rPr>
        <w:t>werkt</w:t>
      </w:r>
      <w:r w:rsidR="00B86CB6">
        <w:rPr>
          <w:rFonts w:asciiTheme="minorHAnsi" w:hAnsiTheme="minorHAnsi" w:cstheme="minorHAnsi"/>
          <w:i/>
          <w:iCs/>
        </w:rPr>
        <w:t xml:space="preserve"> </w:t>
      </w:r>
      <w:r w:rsidR="001E34F6">
        <w:rPr>
          <w:rFonts w:asciiTheme="minorHAnsi" w:hAnsiTheme="minorHAnsi" w:cstheme="minorHAnsi"/>
          <w:i/>
          <w:iCs/>
        </w:rPr>
        <w:t>e</w:t>
      </w:r>
      <w:r w:rsidR="00B86CB6">
        <w:rPr>
          <w:rFonts w:asciiTheme="minorHAnsi" w:hAnsiTheme="minorHAnsi" w:cstheme="minorHAnsi"/>
          <w:i/>
          <w:iCs/>
        </w:rPr>
        <w:t>n</w:t>
      </w:r>
      <w:r w:rsidR="00841934">
        <w:rPr>
          <w:rFonts w:asciiTheme="minorHAnsi" w:hAnsiTheme="minorHAnsi" w:cstheme="minorHAnsi"/>
          <w:i/>
          <w:iCs/>
        </w:rPr>
        <w:t xml:space="preserve"> aangezien art. 45d lid 2 </w:t>
      </w:r>
      <w:proofErr w:type="spellStart"/>
      <w:r w:rsidR="00841934">
        <w:rPr>
          <w:rFonts w:asciiTheme="minorHAnsi" w:hAnsiTheme="minorHAnsi" w:cstheme="minorHAnsi"/>
          <w:i/>
          <w:iCs/>
        </w:rPr>
        <w:t>Aw</w:t>
      </w:r>
      <w:proofErr w:type="spellEnd"/>
      <w:r w:rsidR="00841934">
        <w:rPr>
          <w:rFonts w:asciiTheme="minorHAnsi" w:hAnsiTheme="minorHAnsi" w:cstheme="minorHAnsi"/>
          <w:i/>
          <w:iCs/>
        </w:rPr>
        <w:t xml:space="preserve"> </w:t>
      </w:r>
      <w:r w:rsidR="003308AF">
        <w:rPr>
          <w:rFonts w:asciiTheme="minorHAnsi" w:hAnsiTheme="minorHAnsi" w:cstheme="minorHAnsi"/>
          <w:i/>
          <w:iCs/>
        </w:rPr>
        <w:t xml:space="preserve">nog wel </w:t>
      </w:r>
      <w:r w:rsidR="00841934">
        <w:rPr>
          <w:rFonts w:asciiTheme="minorHAnsi" w:hAnsiTheme="minorHAnsi" w:cstheme="minorHAnsi"/>
          <w:i/>
          <w:iCs/>
        </w:rPr>
        <w:t>van toepassing is volgen</w:t>
      </w:r>
      <w:r w:rsidR="003308AF">
        <w:rPr>
          <w:rFonts w:asciiTheme="minorHAnsi" w:hAnsiTheme="minorHAnsi" w:cstheme="minorHAnsi"/>
          <w:i/>
          <w:iCs/>
        </w:rPr>
        <w:t>s</w:t>
      </w:r>
      <w:r w:rsidR="00841934">
        <w:rPr>
          <w:rFonts w:asciiTheme="minorHAnsi" w:hAnsiTheme="minorHAnsi" w:cstheme="minorHAnsi"/>
          <w:i/>
          <w:iCs/>
        </w:rPr>
        <w:t xml:space="preserve"> </w:t>
      </w:r>
      <w:proofErr w:type="spellStart"/>
      <w:r w:rsidR="003308AF">
        <w:rPr>
          <w:rFonts w:asciiTheme="minorHAnsi" w:hAnsiTheme="minorHAnsi" w:cstheme="minorHAnsi"/>
          <w:i/>
          <w:iCs/>
        </w:rPr>
        <w:t>I</w:t>
      </w:r>
      <w:r w:rsidR="00841934">
        <w:rPr>
          <w:rFonts w:asciiTheme="minorHAnsi" w:hAnsiTheme="minorHAnsi" w:cstheme="minorHAnsi"/>
          <w:i/>
          <w:iCs/>
        </w:rPr>
        <w:t>nview</w:t>
      </w:r>
      <w:proofErr w:type="spellEnd"/>
      <w:r w:rsidR="00CA3369">
        <w:rPr>
          <w:rFonts w:asciiTheme="minorHAnsi" w:hAnsiTheme="minorHAnsi" w:cstheme="minorHAnsi"/>
          <w:i/>
          <w:iCs/>
        </w:rPr>
        <w:t>. Van uw opmerking</w:t>
      </w:r>
      <w:r w:rsidR="00841934">
        <w:rPr>
          <w:rFonts w:asciiTheme="minorHAnsi" w:hAnsiTheme="minorHAnsi" w:cstheme="minorHAnsi"/>
          <w:i/>
          <w:iCs/>
        </w:rPr>
        <w:t xml:space="preserve"> op </w:t>
      </w:r>
      <w:proofErr w:type="spellStart"/>
      <w:r w:rsidR="00841934">
        <w:rPr>
          <w:rFonts w:asciiTheme="minorHAnsi" w:hAnsiTheme="minorHAnsi" w:cstheme="minorHAnsi"/>
          <w:i/>
          <w:iCs/>
        </w:rPr>
        <w:t>Brightspace</w:t>
      </w:r>
      <w:proofErr w:type="spellEnd"/>
      <w:r w:rsidR="00CA3369">
        <w:rPr>
          <w:rFonts w:asciiTheme="minorHAnsi" w:hAnsiTheme="minorHAnsi" w:cstheme="minorHAnsi"/>
          <w:i/>
          <w:iCs/>
        </w:rPr>
        <w:t xml:space="preserve"> ben ik </w:t>
      </w:r>
      <w:r w:rsidR="00B86CB6">
        <w:rPr>
          <w:rFonts w:asciiTheme="minorHAnsi" w:hAnsiTheme="minorHAnsi" w:cstheme="minorHAnsi"/>
          <w:i/>
          <w:iCs/>
        </w:rPr>
        <w:t>wel bewust. Hopelijk werkt dit niet in mijn nadeel.</w:t>
      </w:r>
    </w:p>
    <w:sectPr w:rsidR="00605DB5" w:rsidRPr="00FF63BF">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4397" w14:textId="77777777" w:rsidR="00800950" w:rsidRDefault="00800950">
      <w:r>
        <w:separator/>
      </w:r>
    </w:p>
  </w:endnote>
  <w:endnote w:type="continuationSeparator" w:id="0">
    <w:p w14:paraId="1A9DBE68" w14:textId="77777777" w:rsidR="00800950" w:rsidRDefault="0080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85FC" w14:textId="77777777" w:rsidR="00800950" w:rsidRDefault="00800950">
      <w:r>
        <w:separator/>
      </w:r>
    </w:p>
  </w:footnote>
  <w:footnote w:type="continuationSeparator" w:id="0">
    <w:p w14:paraId="60BE03CF" w14:textId="77777777" w:rsidR="00800950" w:rsidRDefault="00800950">
      <w:r>
        <w:continuationSeparator/>
      </w:r>
    </w:p>
  </w:footnote>
  <w:footnote w:id="1">
    <w:p w14:paraId="080E5EBE" w14:textId="672A9F0E" w:rsidR="00975898" w:rsidRPr="00EB270B" w:rsidRDefault="005C3F98" w:rsidP="00FF63BF">
      <w:pPr>
        <w:rPr>
          <w:rFonts w:asciiTheme="minorHAnsi" w:hAnsiTheme="minorHAnsi" w:cstheme="minorHAnsi"/>
        </w:rPr>
      </w:pPr>
      <w:r w:rsidRPr="00EB270B">
        <w:rPr>
          <w:rStyle w:val="Voetnootmarkering"/>
          <w:rFonts w:asciiTheme="minorHAnsi" w:hAnsiTheme="minorHAnsi" w:cstheme="minorHAnsi"/>
        </w:rPr>
        <w:footnoteRef/>
      </w:r>
      <w:r w:rsidR="00B7799B">
        <w:rPr>
          <w:rFonts w:asciiTheme="minorHAnsi" w:hAnsiTheme="minorHAnsi" w:cstheme="minorHAnsi"/>
        </w:rPr>
        <w:t xml:space="preserve"> </w:t>
      </w:r>
      <w:r w:rsidRPr="00EB270B">
        <w:rPr>
          <w:rFonts w:asciiTheme="minorHAnsi" w:hAnsiTheme="minorHAnsi" w:cstheme="minorHAnsi"/>
        </w:rPr>
        <w:t xml:space="preserve">Rb. Midden-Nederland 4 maart 2026, ECLI:NL:RBMNE:2026:558, </w:t>
      </w:r>
      <w:proofErr w:type="spellStart"/>
      <w:r w:rsidRPr="00EB270B">
        <w:rPr>
          <w:rFonts w:asciiTheme="minorHAnsi" w:hAnsiTheme="minorHAnsi" w:cstheme="minorHAnsi"/>
        </w:rPr>
        <w:t>r.o.</w:t>
      </w:r>
      <w:proofErr w:type="spellEnd"/>
      <w:r w:rsidR="0048312C" w:rsidRPr="00EB270B">
        <w:rPr>
          <w:rFonts w:asciiTheme="minorHAnsi" w:hAnsiTheme="minorHAnsi" w:cstheme="minorHAnsi"/>
        </w:rPr>
        <w:t xml:space="preserve"> 2 &amp;</w:t>
      </w:r>
      <w:r w:rsidRPr="00EB270B">
        <w:rPr>
          <w:rFonts w:asciiTheme="minorHAnsi" w:hAnsiTheme="minorHAnsi" w:cstheme="minorHAnsi"/>
        </w:rPr>
        <w:t xml:space="preserve"> 3.</w:t>
      </w:r>
      <w:r w:rsidR="0048312C" w:rsidRPr="00EB270B">
        <w:rPr>
          <w:rFonts w:asciiTheme="minorHAnsi" w:hAnsiTheme="minorHAnsi" w:cstheme="minorHAnsi"/>
        </w:rPr>
        <w:t>5</w:t>
      </w:r>
      <w:r w:rsidR="0073467B" w:rsidRPr="00EB270B">
        <w:rPr>
          <w:rFonts w:asciiTheme="minorHAnsi" w:hAnsiTheme="minorHAnsi" w:cstheme="minorHAnsi"/>
        </w:rPr>
        <w:t>.</w:t>
      </w:r>
    </w:p>
  </w:footnote>
  <w:footnote w:id="2">
    <w:p w14:paraId="4D39241B" w14:textId="455BA08A" w:rsidR="00E254BD" w:rsidRPr="00EB270B" w:rsidRDefault="00FF63BF" w:rsidP="00FF63BF">
      <w:pPr>
        <w:pStyle w:val="Voetnoottekst"/>
        <w:rPr>
          <w:rFonts w:asciiTheme="minorHAnsi" w:hAnsiTheme="minorHAnsi" w:cstheme="minorHAnsi"/>
          <w:sz w:val="22"/>
          <w:szCs w:val="22"/>
        </w:rPr>
      </w:pPr>
      <w:r w:rsidRPr="00EB270B">
        <w:rPr>
          <w:rStyle w:val="Voetnootmarkering"/>
          <w:rFonts w:asciiTheme="minorHAnsi" w:hAnsiTheme="minorHAnsi" w:cstheme="minorHAnsi"/>
          <w:sz w:val="22"/>
          <w:szCs w:val="22"/>
        </w:rPr>
        <w:footnoteRef/>
      </w:r>
      <w:r w:rsidR="00B7799B">
        <w:rPr>
          <w:rFonts w:asciiTheme="minorHAnsi" w:hAnsiTheme="minorHAnsi" w:cstheme="minorHAnsi"/>
          <w:sz w:val="22"/>
          <w:szCs w:val="22"/>
        </w:rPr>
        <w:t xml:space="preserve"> </w:t>
      </w:r>
      <w:r w:rsidR="0073467B" w:rsidRPr="00EB270B">
        <w:rPr>
          <w:rFonts w:asciiTheme="minorHAnsi" w:hAnsiTheme="minorHAnsi" w:cstheme="minorHAnsi"/>
          <w:sz w:val="22"/>
          <w:szCs w:val="22"/>
        </w:rPr>
        <w:t xml:space="preserve">D.W.F. Verkade, Commentaar op art. 45d </w:t>
      </w:r>
      <w:proofErr w:type="spellStart"/>
      <w:r w:rsidR="0073467B" w:rsidRPr="00EB270B">
        <w:rPr>
          <w:rFonts w:asciiTheme="minorHAnsi" w:hAnsiTheme="minorHAnsi" w:cstheme="minorHAnsi"/>
          <w:sz w:val="22"/>
          <w:szCs w:val="22"/>
        </w:rPr>
        <w:t>Aw</w:t>
      </w:r>
      <w:proofErr w:type="spellEnd"/>
      <w:r w:rsidR="0073467B" w:rsidRPr="00EB270B">
        <w:rPr>
          <w:rFonts w:asciiTheme="minorHAnsi" w:hAnsiTheme="minorHAnsi" w:cstheme="minorHAnsi"/>
          <w:sz w:val="22"/>
          <w:szCs w:val="22"/>
        </w:rPr>
        <w:t>, in</w:t>
      </w:r>
      <w:r w:rsidR="001D238F" w:rsidRPr="00EB270B">
        <w:rPr>
          <w:rFonts w:asciiTheme="minorHAnsi" w:hAnsiTheme="minorHAnsi" w:cstheme="minorHAnsi"/>
          <w:sz w:val="22"/>
          <w:szCs w:val="22"/>
        </w:rPr>
        <w:t>:</w:t>
      </w:r>
      <w:r w:rsidR="0073467B" w:rsidRPr="00EB270B">
        <w:rPr>
          <w:rFonts w:asciiTheme="minorHAnsi" w:hAnsiTheme="minorHAnsi" w:cstheme="minorHAnsi"/>
          <w:sz w:val="22"/>
          <w:szCs w:val="22"/>
        </w:rPr>
        <w:t xml:space="preserve"> </w:t>
      </w:r>
      <w:r w:rsidR="001D238F" w:rsidRPr="00EB270B">
        <w:rPr>
          <w:rFonts w:asciiTheme="minorHAnsi" w:hAnsiTheme="minorHAnsi" w:cstheme="minorHAnsi"/>
          <w:sz w:val="22"/>
          <w:szCs w:val="22"/>
        </w:rPr>
        <w:t xml:space="preserve">P.G.F.A. Geerts &amp; D.J.G. Visser (red.), </w:t>
      </w:r>
      <w:r w:rsidR="001D238F" w:rsidRPr="00EB270B">
        <w:rPr>
          <w:rFonts w:asciiTheme="minorHAnsi" w:hAnsiTheme="minorHAnsi" w:cstheme="minorHAnsi"/>
          <w:i/>
          <w:iCs/>
          <w:sz w:val="22"/>
          <w:szCs w:val="22"/>
        </w:rPr>
        <w:t>Tekst &amp; Commentaar Intellectueel Eigendomsrecht</w:t>
      </w:r>
      <w:r w:rsidR="001D238F" w:rsidRPr="00EB270B">
        <w:rPr>
          <w:rFonts w:asciiTheme="minorHAnsi" w:hAnsiTheme="minorHAnsi" w:cstheme="minorHAnsi"/>
          <w:sz w:val="22"/>
          <w:szCs w:val="22"/>
        </w:rPr>
        <w:t xml:space="preserve">, Deventer: Kluwer (online, bijgewerkt tot 1 januari 2026). </w:t>
      </w:r>
    </w:p>
  </w:footnote>
  <w:footnote w:id="3">
    <w:p w14:paraId="18413B88" w14:textId="4B9C46F9" w:rsidR="00E254BD" w:rsidRPr="00FF63BF" w:rsidRDefault="00E254BD" w:rsidP="00FF63BF">
      <w:pPr>
        <w:pStyle w:val="Voetnoottekst"/>
        <w:rPr>
          <w:rFonts w:asciiTheme="minorHAnsi" w:hAnsiTheme="minorHAnsi" w:cstheme="minorHAnsi"/>
          <w:sz w:val="22"/>
          <w:szCs w:val="22"/>
        </w:rPr>
      </w:pPr>
      <w:r w:rsidRPr="00EB270B">
        <w:rPr>
          <w:rStyle w:val="Voetnootmarkering"/>
          <w:rFonts w:asciiTheme="minorHAnsi" w:hAnsiTheme="minorHAnsi" w:cstheme="minorHAnsi"/>
          <w:sz w:val="22"/>
          <w:szCs w:val="22"/>
        </w:rPr>
        <w:footnoteRef/>
      </w:r>
      <w:r w:rsidR="00B7799B">
        <w:rPr>
          <w:rFonts w:asciiTheme="minorHAnsi" w:hAnsiTheme="minorHAnsi" w:cstheme="minorHAnsi"/>
          <w:sz w:val="22"/>
          <w:szCs w:val="22"/>
        </w:rPr>
        <w:t xml:space="preserve"> </w:t>
      </w:r>
      <w:r w:rsidRPr="00EB270B">
        <w:rPr>
          <w:rFonts w:asciiTheme="minorHAnsi" w:hAnsiTheme="minorHAnsi" w:cstheme="minorHAnsi"/>
          <w:sz w:val="22"/>
          <w:szCs w:val="22"/>
        </w:rPr>
        <w:t xml:space="preserve">Rb. Midden-Nederland 4 maart 2026, ECLI:NL:RBMNE:2026:558, </w:t>
      </w:r>
      <w:proofErr w:type="spellStart"/>
      <w:r w:rsidRPr="00EB270B">
        <w:rPr>
          <w:rFonts w:asciiTheme="minorHAnsi" w:hAnsiTheme="minorHAnsi" w:cstheme="minorHAnsi"/>
          <w:sz w:val="22"/>
          <w:szCs w:val="22"/>
        </w:rPr>
        <w:t>r.o.</w:t>
      </w:r>
      <w:proofErr w:type="spellEnd"/>
      <w:r w:rsidRPr="00EB270B">
        <w:rPr>
          <w:rFonts w:asciiTheme="minorHAnsi" w:hAnsiTheme="minorHAnsi" w:cstheme="minorHAnsi"/>
          <w:sz w:val="22"/>
          <w:szCs w:val="22"/>
        </w:rPr>
        <w:t xml:space="preserve"> 3.4.</w:t>
      </w:r>
    </w:p>
  </w:footnote>
  <w:footnote w:id="4">
    <w:p w14:paraId="2A556469" w14:textId="5AA9CF56" w:rsidR="00975898" w:rsidRPr="00CF6106" w:rsidRDefault="005C3F98" w:rsidP="00FF63BF">
      <w:pPr>
        <w:rPr>
          <w:lang w:val="en-GB"/>
        </w:rPr>
      </w:pPr>
      <w:r w:rsidRPr="00CF6106">
        <w:rPr>
          <w:rStyle w:val="Voetnootmarkering"/>
          <w:rFonts w:asciiTheme="minorHAnsi" w:hAnsiTheme="minorHAnsi" w:cstheme="minorHAnsi"/>
        </w:rPr>
        <w:footnoteRef/>
      </w:r>
      <w:r w:rsidR="00B7799B">
        <w:rPr>
          <w:rFonts w:asciiTheme="minorHAnsi" w:hAnsiTheme="minorHAnsi" w:cstheme="minorHAnsi"/>
          <w:lang w:val="en-GB"/>
        </w:rPr>
        <w:t xml:space="preserve"> </w:t>
      </w:r>
      <w:r w:rsidRPr="00CF6106">
        <w:rPr>
          <w:rFonts w:asciiTheme="minorHAnsi" w:hAnsiTheme="minorHAnsi" w:cstheme="minorHAnsi"/>
          <w:lang w:val="en-GB"/>
        </w:rPr>
        <w:t>U.S. Copyright Act</w:t>
      </w:r>
      <w:r w:rsidR="00333740" w:rsidRPr="00CF6106">
        <w:rPr>
          <w:rFonts w:asciiTheme="minorHAnsi" w:hAnsiTheme="minorHAnsi" w:cstheme="minorHAnsi"/>
          <w:lang w:val="en-GB"/>
        </w:rPr>
        <w:t xml:space="preserve"> Titel 17</w:t>
      </w:r>
      <w:r w:rsidRPr="00CF6106">
        <w:rPr>
          <w:rFonts w:asciiTheme="minorHAnsi" w:hAnsiTheme="minorHAnsi" w:cstheme="minorHAnsi"/>
          <w:lang w:val="en-GB"/>
        </w:rPr>
        <w:t xml:space="preserve"> § 101 sub (1).</w:t>
      </w:r>
    </w:p>
  </w:footnote>
  <w:footnote w:id="5">
    <w:p w14:paraId="686C4C3C" w14:textId="700DC0C9" w:rsidR="0048312C" w:rsidRPr="00CF6106" w:rsidRDefault="0048312C">
      <w:pPr>
        <w:pStyle w:val="Voetnoottekst"/>
        <w:rPr>
          <w:rFonts w:asciiTheme="minorHAnsi" w:hAnsiTheme="minorHAnsi" w:cstheme="minorHAnsi"/>
          <w:sz w:val="22"/>
          <w:szCs w:val="22"/>
        </w:rPr>
      </w:pPr>
      <w:r w:rsidRPr="00CF6106">
        <w:rPr>
          <w:rStyle w:val="Voetnootmarkering"/>
          <w:rFonts w:asciiTheme="minorHAnsi" w:hAnsiTheme="minorHAnsi" w:cstheme="minorHAnsi"/>
          <w:sz w:val="22"/>
          <w:szCs w:val="22"/>
        </w:rPr>
        <w:footnoteRef/>
      </w:r>
      <w:r w:rsidR="00B7799B">
        <w:rPr>
          <w:rFonts w:asciiTheme="minorHAnsi" w:hAnsiTheme="minorHAnsi" w:cstheme="minorHAnsi"/>
          <w:sz w:val="22"/>
          <w:szCs w:val="22"/>
        </w:rPr>
        <w:t xml:space="preserve"> </w:t>
      </w:r>
      <w:r w:rsidRPr="00CF6106">
        <w:rPr>
          <w:rFonts w:asciiTheme="minorHAnsi" w:hAnsiTheme="minorHAnsi" w:cstheme="minorHAnsi"/>
          <w:sz w:val="22"/>
          <w:szCs w:val="22"/>
        </w:rPr>
        <w:t xml:space="preserve">Rb. Midden-Nederland, 4 maart 2026, ECLI:NL:RBMNE:2026:558 </w:t>
      </w:r>
      <w:proofErr w:type="spellStart"/>
      <w:r w:rsidRPr="00CF6106">
        <w:rPr>
          <w:rFonts w:asciiTheme="minorHAnsi" w:hAnsiTheme="minorHAnsi" w:cstheme="minorHAnsi"/>
          <w:sz w:val="22"/>
          <w:szCs w:val="22"/>
        </w:rPr>
        <w:t>r.o.</w:t>
      </w:r>
      <w:proofErr w:type="spellEnd"/>
      <w:r w:rsidRPr="00CF6106">
        <w:rPr>
          <w:rFonts w:asciiTheme="minorHAnsi" w:hAnsiTheme="minorHAnsi" w:cstheme="minorHAnsi"/>
          <w:sz w:val="22"/>
          <w:szCs w:val="22"/>
        </w:rPr>
        <w:t xml:space="preserve"> 3.5</w:t>
      </w:r>
      <w:r w:rsidR="00FF63BF" w:rsidRPr="00CF6106">
        <w:rPr>
          <w:rFonts w:asciiTheme="minorHAnsi" w:hAnsiTheme="minorHAnsi" w:cstheme="minorHAnsi"/>
          <w:sz w:val="22"/>
          <w:szCs w:val="22"/>
        </w:rPr>
        <w:t>.</w:t>
      </w:r>
    </w:p>
  </w:footnote>
  <w:footnote w:id="6">
    <w:p w14:paraId="579C2F6A" w14:textId="5496E179" w:rsidR="007851A4" w:rsidRDefault="007851A4">
      <w:pPr>
        <w:pStyle w:val="Voetnoottekst"/>
      </w:pPr>
      <w:r>
        <w:rPr>
          <w:rStyle w:val="Voetnootmarkering"/>
        </w:rPr>
        <w:footnoteRef/>
      </w:r>
      <w:r>
        <w:t xml:space="preserve"> </w:t>
      </w:r>
      <w:r w:rsidRPr="00CF6106">
        <w:rPr>
          <w:rFonts w:asciiTheme="minorHAnsi" w:hAnsiTheme="minorHAnsi" w:cstheme="minorHAnsi"/>
          <w:sz w:val="22"/>
          <w:szCs w:val="22"/>
        </w:rPr>
        <w:t xml:space="preserve">Rb. Midden-Nederland, 4 maart 2026, ECLI:NL:RBMNE:2026:558 </w:t>
      </w:r>
      <w:proofErr w:type="spellStart"/>
      <w:r w:rsidRPr="00CF6106">
        <w:rPr>
          <w:rFonts w:asciiTheme="minorHAnsi" w:hAnsiTheme="minorHAnsi" w:cstheme="minorHAnsi"/>
          <w:sz w:val="22"/>
          <w:szCs w:val="22"/>
        </w:rPr>
        <w:t>r.o.</w:t>
      </w:r>
      <w:proofErr w:type="spellEnd"/>
      <w:r w:rsidRPr="00CF6106">
        <w:rPr>
          <w:rFonts w:asciiTheme="minorHAnsi" w:hAnsiTheme="minorHAnsi" w:cstheme="minorHAnsi"/>
          <w:sz w:val="22"/>
          <w:szCs w:val="22"/>
        </w:rPr>
        <w:t xml:space="preserve"> 3.</w:t>
      </w:r>
      <w:r>
        <w:rPr>
          <w:rFonts w:asciiTheme="minorHAnsi" w:hAnsiTheme="minorHAnsi" w:cstheme="minorHAnsi"/>
          <w:sz w:val="22"/>
          <w:szCs w:val="22"/>
        </w:rPr>
        <w:t>11.</w:t>
      </w:r>
    </w:p>
  </w:footnote>
  <w:footnote w:id="7">
    <w:p w14:paraId="477C3AE7" w14:textId="49670C4A" w:rsidR="0048312C" w:rsidRPr="00CF6106" w:rsidRDefault="0048312C">
      <w:pPr>
        <w:pStyle w:val="Voetnoottekst"/>
        <w:rPr>
          <w:rFonts w:asciiTheme="minorHAnsi" w:hAnsiTheme="minorHAnsi" w:cstheme="minorHAnsi"/>
          <w:sz w:val="22"/>
          <w:szCs w:val="22"/>
        </w:rPr>
      </w:pPr>
      <w:r w:rsidRPr="00CF6106">
        <w:rPr>
          <w:rStyle w:val="Voetnootmarkering"/>
          <w:rFonts w:asciiTheme="minorHAnsi" w:hAnsiTheme="minorHAnsi" w:cstheme="minorHAnsi"/>
          <w:sz w:val="22"/>
          <w:szCs w:val="22"/>
        </w:rPr>
        <w:footnoteRef/>
      </w:r>
      <w:r w:rsidRPr="00CF6106">
        <w:rPr>
          <w:rFonts w:asciiTheme="minorHAnsi" w:hAnsiTheme="minorHAnsi" w:cstheme="minorHAnsi"/>
          <w:sz w:val="22"/>
          <w:szCs w:val="22"/>
        </w:rPr>
        <w:t xml:space="preserve"> Rb. Midden-Nederland, 4 maart 2026, ECLI:NL:RBMNE:2026:558 </w:t>
      </w:r>
      <w:proofErr w:type="spellStart"/>
      <w:r w:rsidRPr="00CF6106">
        <w:rPr>
          <w:rFonts w:asciiTheme="minorHAnsi" w:hAnsiTheme="minorHAnsi" w:cstheme="minorHAnsi"/>
          <w:sz w:val="22"/>
          <w:szCs w:val="22"/>
        </w:rPr>
        <w:t>r.o.</w:t>
      </w:r>
      <w:proofErr w:type="spellEnd"/>
      <w:r w:rsidRPr="00CF6106">
        <w:rPr>
          <w:rFonts w:asciiTheme="minorHAnsi" w:hAnsiTheme="minorHAnsi" w:cstheme="minorHAnsi"/>
          <w:sz w:val="22"/>
          <w:szCs w:val="22"/>
        </w:rPr>
        <w:t xml:space="preserve"> 3.8.</w:t>
      </w:r>
    </w:p>
  </w:footnote>
  <w:footnote w:id="8">
    <w:p w14:paraId="01687D9E" w14:textId="5657E52C" w:rsidR="00DB2220" w:rsidRPr="00CF6106" w:rsidRDefault="00DB2220">
      <w:pPr>
        <w:pStyle w:val="Voetnoottekst"/>
        <w:rPr>
          <w:rFonts w:asciiTheme="minorHAnsi" w:hAnsiTheme="minorHAnsi" w:cstheme="minorHAnsi"/>
          <w:sz w:val="22"/>
          <w:szCs w:val="22"/>
        </w:rPr>
      </w:pPr>
      <w:r w:rsidRPr="00CF6106">
        <w:rPr>
          <w:rStyle w:val="Voetnootmarkering"/>
          <w:rFonts w:asciiTheme="minorHAnsi" w:hAnsiTheme="minorHAnsi" w:cstheme="minorHAnsi"/>
          <w:sz w:val="22"/>
          <w:szCs w:val="22"/>
        </w:rPr>
        <w:footnoteRef/>
      </w:r>
      <w:r w:rsidRPr="00CF6106">
        <w:rPr>
          <w:rFonts w:asciiTheme="minorHAnsi" w:hAnsiTheme="minorHAnsi" w:cstheme="minorHAnsi"/>
          <w:sz w:val="22"/>
          <w:szCs w:val="22"/>
        </w:rPr>
        <w:t xml:space="preserve"> </w:t>
      </w:r>
      <w:r w:rsidR="00FF63BF" w:rsidRPr="00CF6106">
        <w:rPr>
          <w:rFonts w:asciiTheme="minorHAnsi" w:hAnsiTheme="minorHAnsi" w:cstheme="minorHAnsi"/>
          <w:sz w:val="22"/>
          <w:szCs w:val="22"/>
        </w:rPr>
        <w:t>Rb. Midden-Nederland, 4 maart 2026, ECLI:NL:RBMNE:2026:558</w:t>
      </w:r>
      <w:r w:rsidRPr="00CF6106">
        <w:rPr>
          <w:rFonts w:asciiTheme="minorHAnsi" w:hAnsiTheme="minorHAnsi" w:cstheme="minorHAnsi"/>
          <w:sz w:val="22"/>
          <w:szCs w:val="22"/>
        </w:rPr>
        <w:t xml:space="preserve">, </w:t>
      </w:r>
      <w:proofErr w:type="spellStart"/>
      <w:r w:rsidRPr="00CF6106">
        <w:rPr>
          <w:rFonts w:asciiTheme="minorHAnsi" w:hAnsiTheme="minorHAnsi" w:cstheme="minorHAnsi"/>
          <w:sz w:val="22"/>
          <w:szCs w:val="22"/>
        </w:rPr>
        <w:t>r.o.</w:t>
      </w:r>
      <w:proofErr w:type="spellEnd"/>
      <w:r w:rsidRPr="00CF6106">
        <w:rPr>
          <w:rFonts w:asciiTheme="minorHAnsi" w:hAnsiTheme="minorHAnsi" w:cstheme="minorHAnsi"/>
          <w:sz w:val="22"/>
          <w:szCs w:val="22"/>
        </w:rPr>
        <w:t xml:space="preserve"> 3.8.</w:t>
      </w:r>
    </w:p>
  </w:footnote>
  <w:footnote w:id="9">
    <w:p w14:paraId="274CBCDE" w14:textId="77777777" w:rsidR="00292C5D" w:rsidRPr="002B1CDB" w:rsidRDefault="00292C5D" w:rsidP="00292C5D">
      <w:pPr>
        <w:pStyle w:val="Voetnoottekst"/>
        <w:rPr>
          <w:rFonts w:asciiTheme="minorHAnsi" w:hAnsiTheme="minorHAnsi" w:cstheme="minorHAnsi"/>
          <w:sz w:val="22"/>
          <w:szCs w:val="22"/>
        </w:rPr>
      </w:pPr>
      <w:r>
        <w:rPr>
          <w:rStyle w:val="Voetnootmarkering"/>
        </w:rPr>
        <w:footnoteRef/>
      </w:r>
      <w:r>
        <w:t xml:space="preserve"> </w:t>
      </w:r>
      <w:r w:rsidRPr="002B1CDB">
        <w:rPr>
          <w:rFonts w:asciiTheme="minorHAnsi" w:hAnsiTheme="minorHAnsi" w:cstheme="minorHAnsi"/>
          <w:sz w:val="22"/>
          <w:szCs w:val="22"/>
        </w:rPr>
        <w:t>Art. 5 lid 1 Berner Conventie voor de bescherming van werken van letterkunde en kunst (1886, herzien 1971).</w:t>
      </w:r>
    </w:p>
  </w:footnote>
  <w:footnote w:id="10">
    <w:p w14:paraId="2D57C100" w14:textId="55BA3431" w:rsidR="00284AE5" w:rsidRPr="002B1CDB" w:rsidRDefault="00284AE5">
      <w:pPr>
        <w:pStyle w:val="Voetnoottekst"/>
        <w:rPr>
          <w:rFonts w:asciiTheme="minorHAnsi" w:hAnsiTheme="minorHAnsi" w:cstheme="minorHAnsi"/>
          <w:sz w:val="22"/>
          <w:szCs w:val="22"/>
        </w:rPr>
      </w:pPr>
      <w:r w:rsidRPr="002B1CDB">
        <w:rPr>
          <w:rStyle w:val="Voetnootmarkering"/>
          <w:rFonts w:asciiTheme="minorHAnsi" w:hAnsiTheme="minorHAnsi" w:cstheme="minorHAnsi"/>
          <w:sz w:val="22"/>
          <w:szCs w:val="22"/>
        </w:rPr>
        <w:footnoteRef/>
      </w:r>
      <w:r w:rsidRPr="002B1CDB">
        <w:rPr>
          <w:rFonts w:asciiTheme="minorHAnsi" w:hAnsiTheme="minorHAnsi" w:cstheme="minorHAnsi"/>
          <w:sz w:val="22"/>
          <w:szCs w:val="22"/>
        </w:rPr>
        <w:t xml:space="preserve"> </w:t>
      </w:r>
      <w:r w:rsidRPr="002B1CDB">
        <w:rPr>
          <w:rFonts w:asciiTheme="minorHAnsi" w:eastAsia="Calibri" w:hAnsiTheme="minorHAnsi" w:cstheme="minorHAnsi"/>
          <w:sz w:val="22"/>
          <w:szCs w:val="22"/>
        </w:rPr>
        <w:t xml:space="preserve">R. </w:t>
      </w:r>
      <w:proofErr w:type="spellStart"/>
      <w:r w:rsidRPr="002B1CDB">
        <w:rPr>
          <w:rFonts w:asciiTheme="minorHAnsi" w:eastAsia="Calibri" w:hAnsiTheme="minorHAnsi" w:cstheme="minorHAnsi"/>
          <w:sz w:val="22"/>
          <w:szCs w:val="22"/>
        </w:rPr>
        <w:t>Leuyerink</w:t>
      </w:r>
      <w:proofErr w:type="spellEnd"/>
      <w:r w:rsidRPr="002B1CDB">
        <w:rPr>
          <w:rFonts w:asciiTheme="minorHAnsi" w:eastAsia="Calibri" w:hAnsiTheme="minorHAnsi" w:cstheme="minorHAnsi"/>
          <w:sz w:val="22"/>
          <w:szCs w:val="22"/>
        </w:rPr>
        <w:t>, ‘Het beginsel van nationale behandeling en de VOD-vergoeding</w:t>
      </w:r>
      <w:r w:rsidR="00D4566F" w:rsidRPr="002B1CDB">
        <w:rPr>
          <w:rFonts w:asciiTheme="minorHAnsi" w:eastAsia="Calibri" w:hAnsiTheme="minorHAnsi" w:cstheme="minorHAnsi"/>
          <w:sz w:val="22"/>
          <w:szCs w:val="22"/>
        </w:rPr>
        <w:t>’</w:t>
      </w:r>
      <w:r w:rsidRPr="002B1CDB">
        <w:rPr>
          <w:rFonts w:asciiTheme="minorHAnsi" w:eastAsia="Calibri" w:hAnsiTheme="minorHAnsi" w:cstheme="minorHAnsi"/>
          <w:sz w:val="22"/>
          <w:szCs w:val="22"/>
        </w:rPr>
        <w:t xml:space="preserve">, </w:t>
      </w:r>
      <w:r w:rsidRPr="00CC52DA">
        <w:rPr>
          <w:rFonts w:asciiTheme="minorHAnsi" w:eastAsia="Calibri" w:hAnsiTheme="minorHAnsi" w:cstheme="minorHAnsi"/>
          <w:i/>
          <w:iCs/>
          <w:sz w:val="22"/>
          <w:szCs w:val="22"/>
        </w:rPr>
        <w:t>D</w:t>
      </w:r>
      <w:r w:rsidR="00D4566F" w:rsidRPr="00CC52DA">
        <w:rPr>
          <w:rFonts w:asciiTheme="minorHAnsi" w:eastAsia="Calibri" w:hAnsiTheme="minorHAnsi" w:cstheme="minorHAnsi"/>
          <w:i/>
          <w:iCs/>
          <w:sz w:val="22"/>
          <w:szCs w:val="22"/>
        </w:rPr>
        <w:t>J</w:t>
      </w:r>
      <w:r w:rsidR="00D4566F" w:rsidRPr="002B1CDB">
        <w:rPr>
          <w:rFonts w:asciiTheme="minorHAnsi" w:eastAsia="Calibri" w:hAnsiTheme="minorHAnsi" w:cstheme="minorHAnsi"/>
          <w:sz w:val="22"/>
          <w:szCs w:val="22"/>
        </w:rPr>
        <w:t xml:space="preserve"> (2022/1359), </w:t>
      </w:r>
      <w:r w:rsidR="0010210D" w:rsidRPr="002B1CDB">
        <w:rPr>
          <w:rFonts w:asciiTheme="minorHAnsi" w:eastAsia="Calibri" w:hAnsiTheme="minorHAnsi" w:cstheme="minorHAnsi"/>
          <w:sz w:val="22"/>
          <w:szCs w:val="22"/>
        </w:rPr>
        <w:t>p. 5.</w:t>
      </w:r>
    </w:p>
  </w:footnote>
  <w:footnote w:id="11">
    <w:p w14:paraId="352FFDE0" w14:textId="56B0557A" w:rsidR="001F00C8" w:rsidRPr="002B1CDB" w:rsidRDefault="001F00C8">
      <w:pPr>
        <w:pStyle w:val="Voetnoottekst"/>
        <w:rPr>
          <w:rFonts w:asciiTheme="minorHAnsi" w:hAnsiTheme="minorHAnsi" w:cstheme="minorHAnsi"/>
          <w:sz w:val="22"/>
          <w:szCs w:val="22"/>
        </w:rPr>
      </w:pPr>
      <w:r w:rsidRPr="002B1CDB">
        <w:rPr>
          <w:rStyle w:val="Voetnootmarkering"/>
          <w:rFonts w:asciiTheme="minorHAnsi" w:hAnsiTheme="minorHAnsi" w:cstheme="minorHAnsi"/>
          <w:sz w:val="22"/>
          <w:szCs w:val="22"/>
        </w:rPr>
        <w:footnoteRef/>
      </w:r>
      <w:r w:rsidRPr="002B1CDB">
        <w:rPr>
          <w:rFonts w:asciiTheme="minorHAnsi" w:hAnsiTheme="minorHAnsi" w:cstheme="minorHAnsi"/>
          <w:sz w:val="22"/>
          <w:szCs w:val="22"/>
        </w:rPr>
        <w:t xml:space="preserve"> </w:t>
      </w:r>
      <w:proofErr w:type="spellStart"/>
      <w:r w:rsidR="00BB412E" w:rsidRPr="002B1CDB">
        <w:rPr>
          <w:rFonts w:asciiTheme="minorHAnsi" w:hAnsiTheme="minorHAnsi" w:cstheme="minorHAnsi"/>
          <w:sz w:val="22"/>
          <w:szCs w:val="22"/>
        </w:rPr>
        <w:t>HvJ</w:t>
      </w:r>
      <w:proofErr w:type="spellEnd"/>
      <w:r w:rsidR="00BB412E" w:rsidRPr="002B1CDB">
        <w:rPr>
          <w:rFonts w:asciiTheme="minorHAnsi" w:hAnsiTheme="minorHAnsi" w:cstheme="minorHAnsi"/>
          <w:sz w:val="22"/>
          <w:szCs w:val="22"/>
        </w:rPr>
        <w:t xml:space="preserve"> EU 24 oktober 2024, </w:t>
      </w:r>
      <w:r w:rsidR="00BB412E" w:rsidRPr="002B1CDB">
        <w:rPr>
          <w:rFonts w:asciiTheme="minorHAnsi" w:eastAsia="Calibri" w:hAnsiTheme="minorHAnsi" w:cstheme="minorHAnsi"/>
          <w:sz w:val="22"/>
          <w:szCs w:val="22"/>
        </w:rPr>
        <w:t xml:space="preserve">ECLI:EU:C:2024:914, </w:t>
      </w:r>
      <w:proofErr w:type="spellStart"/>
      <w:r w:rsidR="00BB412E" w:rsidRPr="002B1CDB">
        <w:rPr>
          <w:rFonts w:asciiTheme="minorHAnsi" w:eastAsia="Calibri" w:hAnsiTheme="minorHAnsi" w:cstheme="minorHAnsi"/>
          <w:sz w:val="22"/>
          <w:szCs w:val="22"/>
        </w:rPr>
        <w:t>r.o.</w:t>
      </w:r>
      <w:proofErr w:type="spellEnd"/>
      <w:r w:rsidR="00BB412E" w:rsidRPr="002B1CDB">
        <w:rPr>
          <w:rFonts w:asciiTheme="minorHAnsi" w:eastAsia="Calibri" w:hAnsiTheme="minorHAnsi" w:cstheme="minorHAnsi"/>
          <w:sz w:val="22"/>
          <w:szCs w:val="22"/>
        </w:rPr>
        <w:t xml:space="preserve"> 45 en 60</w:t>
      </w:r>
      <w:r w:rsidR="00214769">
        <w:rPr>
          <w:rFonts w:asciiTheme="minorHAnsi" w:eastAsia="Calibri" w:hAnsiTheme="minorHAnsi" w:cstheme="minorHAnsi"/>
          <w:sz w:val="22"/>
          <w:szCs w:val="22"/>
        </w:rPr>
        <w:t xml:space="preserve">, voortbouwend op </w:t>
      </w:r>
      <w:proofErr w:type="spellStart"/>
      <w:r w:rsidR="00214769">
        <w:rPr>
          <w:rFonts w:asciiTheme="minorHAnsi" w:eastAsia="Calibri" w:hAnsiTheme="minorHAnsi" w:cstheme="minorHAnsi"/>
          <w:sz w:val="22"/>
          <w:szCs w:val="22"/>
        </w:rPr>
        <w:t>HvJ</w:t>
      </w:r>
      <w:proofErr w:type="spellEnd"/>
      <w:r w:rsidR="00214769">
        <w:rPr>
          <w:rFonts w:asciiTheme="minorHAnsi" w:eastAsia="Calibri" w:hAnsiTheme="minorHAnsi" w:cstheme="minorHAnsi"/>
          <w:sz w:val="22"/>
          <w:szCs w:val="22"/>
        </w:rPr>
        <w:t xml:space="preserve"> EU 8 september 2020, ECLI:NL:G:2020:677, </w:t>
      </w:r>
      <w:proofErr w:type="spellStart"/>
      <w:r w:rsidR="00214769">
        <w:rPr>
          <w:rFonts w:asciiTheme="minorHAnsi" w:eastAsia="Calibri" w:hAnsiTheme="minorHAnsi" w:cstheme="minorHAnsi"/>
          <w:sz w:val="22"/>
          <w:szCs w:val="22"/>
        </w:rPr>
        <w:t>r.o.</w:t>
      </w:r>
      <w:proofErr w:type="spellEnd"/>
      <w:r w:rsidR="00214769">
        <w:rPr>
          <w:rFonts w:asciiTheme="minorHAnsi" w:eastAsia="Calibri" w:hAnsiTheme="minorHAnsi" w:cstheme="minorHAnsi"/>
          <w:sz w:val="22"/>
          <w:szCs w:val="22"/>
        </w:rPr>
        <w:t xml:space="preserve"> 88 en 91.</w:t>
      </w:r>
    </w:p>
  </w:footnote>
  <w:footnote w:id="12">
    <w:p w14:paraId="6100C923" w14:textId="7DE5706C" w:rsidR="00CE7E41" w:rsidRDefault="00CE7E41">
      <w:pPr>
        <w:pStyle w:val="Voetnoottekst"/>
      </w:pPr>
      <w:r w:rsidRPr="002B1CDB">
        <w:rPr>
          <w:rStyle w:val="Voetnootmarkering"/>
          <w:rFonts w:asciiTheme="minorHAnsi" w:hAnsiTheme="minorHAnsi" w:cstheme="minorHAnsi"/>
          <w:sz w:val="22"/>
          <w:szCs w:val="22"/>
        </w:rPr>
        <w:footnoteRef/>
      </w:r>
      <w:r w:rsidRPr="002B1CDB">
        <w:rPr>
          <w:rFonts w:asciiTheme="minorHAnsi" w:hAnsiTheme="minorHAnsi" w:cstheme="minorHAnsi"/>
          <w:sz w:val="22"/>
          <w:szCs w:val="22"/>
        </w:rPr>
        <w:t xml:space="preserve"> </w:t>
      </w:r>
      <w:r w:rsidR="00704105" w:rsidRPr="002B1CDB">
        <w:rPr>
          <w:rFonts w:asciiTheme="minorHAnsi" w:hAnsiTheme="minorHAnsi" w:cstheme="minorHAnsi"/>
          <w:sz w:val="22"/>
          <w:szCs w:val="22"/>
        </w:rPr>
        <w:t>J.H. Spoor, D.W.F. Verkade &amp; D.J.G. Visser,</w:t>
      </w:r>
      <w:r w:rsidR="00704105" w:rsidRPr="002B1CDB">
        <w:rPr>
          <w:rFonts w:asciiTheme="minorHAnsi" w:hAnsiTheme="minorHAnsi" w:cstheme="minorHAnsi"/>
          <w:i/>
          <w:iCs/>
          <w:sz w:val="22"/>
          <w:szCs w:val="22"/>
        </w:rPr>
        <w:t> Auteursrecht. Auteursrecht, portretrecht, naburige rechten en databankenrecht (Recht en Praktijk nr. IE2), </w:t>
      </w:r>
      <w:r w:rsidR="00704105" w:rsidRPr="002B1CDB">
        <w:rPr>
          <w:rFonts w:asciiTheme="minorHAnsi" w:hAnsiTheme="minorHAnsi" w:cstheme="minorHAnsi"/>
          <w:sz w:val="22"/>
          <w:szCs w:val="22"/>
        </w:rPr>
        <w:t>Deventer: Wolters Kluwer 2025</w:t>
      </w:r>
      <w:r w:rsidR="00261E02" w:rsidRPr="002B1CDB">
        <w:rPr>
          <w:rFonts w:asciiTheme="minorHAnsi" w:hAnsiTheme="minorHAnsi" w:cstheme="minorHAnsi"/>
          <w:sz w:val="22"/>
          <w:szCs w:val="22"/>
        </w:rPr>
        <w:t xml:space="preserve">, </w:t>
      </w:r>
      <w:r w:rsidR="00E410E1" w:rsidRPr="002B1CDB">
        <w:rPr>
          <w:rFonts w:asciiTheme="minorHAnsi" w:hAnsiTheme="minorHAnsi" w:cstheme="minorHAnsi"/>
          <w:sz w:val="22"/>
          <w:szCs w:val="22"/>
        </w:rPr>
        <w:t>paragraaf</w:t>
      </w:r>
      <w:r w:rsidR="004A6B44" w:rsidRPr="002B1CDB">
        <w:rPr>
          <w:rFonts w:asciiTheme="minorHAnsi" w:hAnsiTheme="minorHAnsi" w:cstheme="minorHAnsi"/>
          <w:sz w:val="22"/>
          <w:szCs w:val="22"/>
        </w:rPr>
        <w:t xml:space="preserve"> </w:t>
      </w:r>
      <w:r w:rsidR="00BB431D" w:rsidRPr="002B1CDB">
        <w:rPr>
          <w:rFonts w:asciiTheme="minorHAnsi" w:hAnsiTheme="minorHAnsi" w:cstheme="minorHAnsi"/>
          <w:sz w:val="22"/>
          <w:szCs w:val="22"/>
        </w:rPr>
        <w:t>14.12</w:t>
      </w:r>
      <w:r w:rsidR="00261E02" w:rsidRPr="002B1CDB">
        <w:rPr>
          <w:rFonts w:asciiTheme="minorHAnsi" w:hAnsiTheme="minorHAnsi" w:cstheme="minorHAnsi"/>
          <w:sz w:val="22"/>
          <w:szCs w:val="22"/>
        </w:rPr>
        <w:t>.</w:t>
      </w:r>
    </w:p>
  </w:footnote>
  <w:footnote w:id="13">
    <w:p w14:paraId="6167CC24" w14:textId="43BE046C" w:rsidR="00975898" w:rsidRPr="00CF6106" w:rsidRDefault="005C3F98" w:rsidP="00FF63BF">
      <w:pPr>
        <w:rPr>
          <w:rFonts w:asciiTheme="minorHAnsi" w:hAnsiTheme="minorHAnsi" w:cstheme="minorHAnsi"/>
        </w:rPr>
      </w:pPr>
      <w:r w:rsidRPr="00CF6106">
        <w:rPr>
          <w:rStyle w:val="Voetnootmarkering"/>
          <w:rFonts w:asciiTheme="minorHAnsi" w:hAnsiTheme="minorHAnsi" w:cstheme="minorHAnsi"/>
        </w:rPr>
        <w:footnoteRef/>
      </w:r>
      <w:r w:rsidR="004264C1">
        <w:rPr>
          <w:rFonts w:asciiTheme="minorHAnsi" w:hAnsiTheme="minorHAnsi" w:cstheme="minorHAnsi"/>
        </w:rPr>
        <w:t xml:space="preserve"> </w:t>
      </w:r>
      <w:r w:rsidRPr="00CF6106">
        <w:rPr>
          <w:rFonts w:asciiTheme="minorHAnsi" w:hAnsiTheme="minorHAnsi" w:cstheme="minorHAnsi"/>
        </w:rPr>
        <w:t xml:space="preserve">Rb. Midden-Nederland 4 maart 2026, ECLI:NL:RBMNE:2026:558, </w:t>
      </w:r>
      <w:proofErr w:type="spellStart"/>
      <w:r w:rsidRPr="00CF6106">
        <w:rPr>
          <w:rFonts w:asciiTheme="minorHAnsi" w:hAnsiTheme="minorHAnsi" w:cstheme="minorHAnsi"/>
        </w:rPr>
        <w:t>r.o.</w:t>
      </w:r>
      <w:proofErr w:type="spellEnd"/>
      <w:r w:rsidRPr="00CF6106">
        <w:rPr>
          <w:rFonts w:asciiTheme="minorHAnsi" w:hAnsiTheme="minorHAnsi" w:cstheme="minorHAnsi"/>
        </w:rPr>
        <w:t xml:space="preserve"> 3.11.</w:t>
      </w:r>
    </w:p>
  </w:footnote>
  <w:footnote w:id="14">
    <w:p w14:paraId="3B8E89C7" w14:textId="58C9E27B" w:rsidR="00AD6427" w:rsidRDefault="00AD6427">
      <w:pPr>
        <w:pStyle w:val="Voetnoottekst"/>
      </w:pPr>
      <w:r w:rsidRPr="00CF6106">
        <w:rPr>
          <w:rStyle w:val="Voetnootmarkering"/>
        </w:rPr>
        <w:footnoteRef/>
      </w:r>
      <w:r w:rsidRPr="00CF6106">
        <w:t xml:space="preserve"> </w:t>
      </w:r>
      <w:r w:rsidRPr="00CF6106">
        <w:rPr>
          <w:rFonts w:asciiTheme="minorHAnsi" w:hAnsiTheme="minorHAnsi" w:cstheme="minorHAnsi"/>
          <w:sz w:val="22"/>
          <w:szCs w:val="22"/>
        </w:rPr>
        <w:t xml:space="preserve">Rb. Midden-Nederland 4 maart 2026, ECLI:NL:RBMNE:2026:558, </w:t>
      </w:r>
      <w:proofErr w:type="spellStart"/>
      <w:r w:rsidRPr="00CF6106">
        <w:rPr>
          <w:rFonts w:asciiTheme="minorHAnsi" w:hAnsiTheme="minorHAnsi" w:cstheme="minorHAnsi"/>
          <w:sz w:val="22"/>
          <w:szCs w:val="22"/>
        </w:rPr>
        <w:t>r.o.</w:t>
      </w:r>
      <w:proofErr w:type="spellEnd"/>
      <w:r w:rsidRPr="00CF6106">
        <w:rPr>
          <w:rFonts w:asciiTheme="minorHAnsi" w:hAnsiTheme="minorHAnsi" w:cstheme="minorHAnsi"/>
          <w:sz w:val="22"/>
          <w:szCs w:val="22"/>
        </w:rPr>
        <w:t xml:space="preserve"> 3.11.</w:t>
      </w:r>
    </w:p>
  </w:footnote>
  <w:footnote w:id="15">
    <w:p w14:paraId="660F7BA9" w14:textId="4D43605B"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4264C1">
        <w:rPr>
          <w:rFonts w:asciiTheme="minorHAnsi" w:hAnsiTheme="minorHAnsi" w:cstheme="minorHAnsi"/>
        </w:rPr>
        <w:t xml:space="preserve"> </w:t>
      </w:r>
      <w:r w:rsidRPr="00FF63BF">
        <w:rPr>
          <w:rFonts w:asciiTheme="minorHAnsi" w:hAnsiTheme="minorHAnsi" w:cstheme="minorHAnsi"/>
        </w:rPr>
        <w:t>Richtlijn</w:t>
      </w:r>
      <w:r w:rsidR="00333740">
        <w:rPr>
          <w:rFonts w:asciiTheme="minorHAnsi" w:hAnsiTheme="minorHAnsi" w:cstheme="minorHAnsi"/>
        </w:rPr>
        <w:t xml:space="preserve"> (EU)</w:t>
      </w:r>
      <w:r w:rsidRPr="00FF63BF">
        <w:rPr>
          <w:rFonts w:asciiTheme="minorHAnsi" w:hAnsiTheme="minorHAnsi" w:cstheme="minorHAnsi"/>
        </w:rPr>
        <w:t xml:space="preserve"> 2019/790</w:t>
      </w:r>
      <w:r w:rsidR="00333740">
        <w:rPr>
          <w:rFonts w:asciiTheme="minorHAnsi" w:hAnsiTheme="minorHAnsi" w:cstheme="minorHAnsi"/>
        </w:rPr>
        <w:t xml:space="preserve"> </w:t>
      </w:r>
      <w:r w:rsidRPr="00FF63BF">
        <w:rPr>
          <w:rFonts w:asciiTheme="minorHAnsi" w:hAnsiTheme="minorHAnsi" w:cstheme="minorHAnsi"/>
        </w:rPr>
        <w:t>(DSM-richtlijn).</w:t>
      </w:r>
    </w:p>
  </w:footnote>
  <w:footnote w:id="16">
    <w:p w14:paraId="48FDD466" w14:textId="13B2CBDC" w:rsidR="00E758FE" w:rsidRPr="00E758FE" w:rsidRDefault="00E758FE" w:rsidP="00E758FE">
      <w:pPr>
        <w:rPr>
          <w:rFonts w:asciiTheme="minorHAnsi" w:hAnsiTheme="minorHAnsi" w:cstheme="minorHAnsi"/>
        </w:rPr>
      </w:pPr>
      <w:r>
        <w:rPr>
          <w:rStyle w:val="Voetnootmarkering"/>
        </w:rPr>
        <w:footnoteRef/>
      </w:r>
      <w:r>
        <w:t xml:space="preserve"> </w:t>
      </w:r>
      <w:r w:rsidR="004264C1" w:rsidRPr="00FF63BF">
        <w:rPr>
          <w:rFonts w:asciiTheme="minorHAnsi" w:hAnsiTheme="minorHAnsi" w:cstheme="minorHAnsi"/>
        </w:rPr>
        <w:t>Richtlijn</w:t>
      </w:r>
      <w:r w:rsidR="004264C1">
        <w:rPr>
          <w:rFonts w:asciiTheme="minorHAnsi" w:hAnsiTheme="minorHAnsi" w:cstheme="minorHAnsi"/>
        </w:rPr>
        <w:t xml:space="preserve"> (EU)</w:t>
      </w:r>
      <w:r w:rsidR="004264C1" w:rsidRPr="00FF63BF">
        <w:rPr>
          <w:rFonts w:asciiTheme="minorHAnsi" w:hAnsiTheme="minorHAnsi" w:cstheme="minorHAnsi"/>
        </w:rPr>
        <w:t xml:space="preserve"> 2019/79</w:t>
      </w:r>
      <w:r w:rsidR="004264C1">
        <w:rPr>
          <w:rFonts w:asciiTheme="minorHAnsi" w:hAnsiTheme="minorHAnsi" w:cstheme="minorHAnsi"/>
        </w:rPr>
        <w:t>, o</w:t>
      </w:r>
      <w:r w:rsidR="004264C1" w:rsidRPr="00FF63BF">
        <w:rPr>
          <w:rFonts w:asciiTheme="minorHAnsi" w:hAnsiTheme="minorHAnsi" w:cstheme="minorHAnsi"/>
        </w:rPr>
        <w:t xml:space="preserve">verweging 48 </w:t>
      </w:r>
      <w:r w:rsidR="004264C1">
        <w:rPr>
          <w:rFonts w:asciiTheme="minorHAnsi" w:hAnsiTheme="minorHAnsi" w:cstheme="minorHAnsi"/>
        </w:rPr>
        <w:t>(</w:t>
      </w:r>
      <w:r w:rsidR="004264C1" w:rsidRPr="00FF63BF">
        <w:rPr>
          <w:rFonts w:asciiTheme="minorHAnsi" w:hAnsiTheme="minorHAnsi" w:cstheme="minorHAnsi"/>
        </w:rPr>
        <w:t>DSM-richtlijn</w:t>
      </w:r>
      <w:r w:rsidR="004264C1">
        <w:rPr>
          <w:rFonts w:asciiTheme="minorHAnsi" w:hAnsiTheme="minorHAnsi" w:cstheme="minorHAnsi"/>
        </w:rPr>
        <w:t>).</w:t>
      </w:r>
    </w:p>
  </w:footnote>
  <w:footnote w:id="17">
    <w:p w14:paraId="65B375F5" w14:textId="376D8968" w:rsidR="00E758FE" w:rsidRDefault="00E758FE" w:rsidP="00E758FE">
      <w:pPr>
        <w:pStyle w:val="Voetnoottekst"/>
      </w:pPr>
      <w:r>
        <w:rPr>
          <w:rStyle w:val="Voetnootmarkering"/>
        </w:rPr>
        <w:footnoteRef/>
      </w:r>
      <w:r>
        <w:t xml:space="preserve"> </w:t>
      </w:r>
      <w:proofErr w:type="spellStart"/>
      <w:r w:rsidRPr="00FF63BF">
        <w:rPr>
          <w:rFonts w:asciiTheme="minorHAnsi" w:hAnsiTheme="minorHAnsi" w:cstheme="minorHAnsi"/>
          <w:sz w:val="22"/>
          <w:szCs w:val="22"/>
        </w:rPr>
        <w:t>HvJ</w:t>
      </w:r>
      <w:proofErr w:type="spellEnd"/>
      <w:r w:rsidRPr="00FF63BF">
        <w:rPr>
          <w:rFonts w:asciiTheme="minorHAnsi" w:hAnsiTheme="minorHAnsi" w:cstheme="minorHAnsi"/>
          <w:sz w:val="22"/>
          <w:szCs w:val="22"/>
        </w:rPr>
        <w:t xml:space="preserve"> EU 6 maart 2025, ECLI:EU:C:2025:141, </w:t>
      </w:r>
      <w:proofErr w:type="spellStart"/>
      <w:r w:rsidRPr="00FF63BF">
        <w:rPr>
          <w:rFonts w:asciiTheme="minorHAnsi" w:hAnsiTheme="minorHAnsi" w:cstheme="minorHAnsi"/>
          <w:sz w:val="22"/>
          <w:szCs w:val="22"/>
        </w:rPr>
        <w:t>r.o.</w:t>
      </w:r>
      <w:proofErr w:type="spellEnd"/>
      <w:r w:rsidRPr="00FF63BF">
        <w:rPr>
          <w:rFonts w:asciiTheme="minorHAnsi" w:hAnsiTheme="minorHAnsi" w:cstheme="minorHAnsi"/>
          <w:sz w:val="22"/>
          <w:szCs w:val="22"/>
        </w:rPr>
        <w:t xml:space="preserve"> 100</w:t>
      </w:r>
      <w:r w:rsidR="00DA2FA9">
        <w:rPr>
          <w:rFonts w:asciiTheme="minorHAnsi" w:hAnsiTheme="minorHAnsi" w:cstheme="minorHAnsi"/>
          <w:sz w:val="22"/>
          <w:szCs w:val="22"/>
        </w:rPr>
        <w:t>.</w:t>
      </w:r>
    </w:p>
  </w:footnote>
  <w:footnote w:id="18">
    <w:p w14:paraId="7636EA50" w14:textId="4745D0F7" w:rsidR="00E758FE" w:rsidRDefault="00E758FE">
      <w:pPr>
        <w:pStyle w:val="Voetnoottekst"/>
      </w:pPr>
      <w:r>
        <w:rPr>
          <w:rStyle w:val="Voetnootmarkering"/>
        </w:rPr>
        <w:footnoteRef/>
      </w:r>
      <w:r>
        <w:t xml:space="preserve"> </w:t>
      </w:r>
      <w:proofErr w:type="spellStart"/>
      <w:r w:rsidRPr="00FF63BF">
        <w:rPr>
          <w:rFonts w:asciiTheme="minorHAnsi" w:hAnsiTheme="minorHAnsi" w:cstheme="minorHAnsi"/>
          <w:sz w:val="22"/>
          <w:szCs w:val="22"/>
        </w:rPr>
        <w:t>HvJ</w:t>
      </w:r>
      <w:proofErr w:type="spellEnd"/>
      <w:r w:rsidRPr="00FF63BF">
        <w:rPr>
          <w:rFonts w:asciiTheme="minorHAnsi" w:hAnsiTheme="minorHAnsi" w:cstheme="minorHAnsi"/>
          <w:sz w:val="22"/>
          <w:szCs w:val="22"/>
        </w:rPr>
        <w:t xml:space="preserve"> EU 6 maart 2025, ECLI:EU:C:2025:141, </w:t>
      </w:r>
      <w:proofErr w:type="spellStart"/>
      <w:r w:rsidRPr="00FF63BF">
        <w:rPr>
          <w:rFonts w:asciiTheme="minorHAnsi" w:hAnsiTheme="minorHAnsi" w:cstheme="minorHAnsi"/>
          <w:sz w:val="22"/>
          <w:szCs w:val="22"/>
        </w:rPr>
        <w:t>r.o.</w:t>
      </w:r>
      <w:proofErr w:type="spellEnd"/>
      <w:r w:rsidRPr="00FF63BF">
        <w:rPr>
          <w:rFonts w:asciiTheme="minorHAnsi" w:hAnsiTheme="minorHAnsi" w:cstheme="minorHAnsi"/>
          <w:sz w:val="22"/>
          <w:szCs w:val="22"/>
        </w:rPr>
        <w:t xml:space="preserve"> 1</w:t>
      </w:r>
      <w:r>
        <w:rPr>
          <w:rFonts w:asciiTheme="minorHAnsi" w:hAnsiTheme="minorHAnsi" w:cstheme="minorHAnsi"/>
          <w:sz w:val="22"/>
          <w:szCs w:val="22"/>
        </w:rPr>
        <w:t>21</w:t>
      </w:r>
      <w:r w:rsidR="00DA2FA9">
        <w:rPr>
          <w:rFonts w:asciiTheme="minorHAnsi" w:hAnsiTheme="minorHAnsi" w:cstheme="minorHAnsi"/>
          <w:sz w:val="22"/>
          <w:szCs w:val="22"/>
        </w:rPr>
        <w:t>.</w:t>
      </w:r>
    </w:p>
  </w:footnote>
  <w:footnote w:id="19">
    <w:p w14:paraId="788A309A" w14:textId="2CD46E0F"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4264C1">
        <w:rPr>
          <w:rFonts w:asciiTheme="minorHAnsi" w:hAnsiTheme="minorHAnsi" w:cstheme="minorHAnsi"/>
        </w:rPr>
        <w:t xml:space="preserve"> </w:t>
      </w:r>
      <w:r w:rsidRPr="00FF63BF">
        <w:rPr>
          <w:rFonts w:asciiTheme="minorHAnsi" w:hAnsiTheme="minorHAnsi" w:cstheme="minorHAnsi"/>
        </w:rPr>
        <w:t xml:space="preserve">Rb. Midden-Nederland 4 maart 2026, ECLI:NL:RBMNE:2026:558, </w:t>
      </w:r>
      <w:proofErr w:type="spellStart"/>
      <w:r w:rsidRPr="00FF63BF">
        <w:rPr>
          <w:rFonts w:asciiTheme="minorHAnsi" w:hAnsiTheme="minorHAnsi" w:cstheme="minorHAnsi"/>
        </w:rPr>
        <w:t>r.o.</w:t>
      </w:r>
      <w:proofErr w:type="spellEnd"/>
      <w:r w:rsidRPr="00FF63BF">
        <w:rPr>
          <w:rFonts w:asciiTheme="minorHAnsi" w:hAnsiTheme="minorHAnsi" w:cstheme="minorHAnsi"/>
        </w:rPr>
        <w:t xml:space="preserve"> 3.1</w:t>
      </w:r>
      <w:r w:rsidR="00E758FE">
        <w:rPr>
          <w:rFonts w:asciiTheme="minorHAnsi" w:hAnsiTheme="minorHAnsi" w:cstheme="minorHAnsi"/>
        </w:rPr>
        <w:t xml:space="preserve">5 &amp; </w:t>
      </w:r>
      <w:r w:rsidRPr="00FF63BF">
        <w:rPr>
          <w:rFonts w:asciiTheme="minorHAnsi" w:hAnsiTheme="minorHAnsi" w:cstheme="minorHAnsi"/>
        </w:rPr>
        <w:t>3.16.</w:t>
      </w:r>
    </w:p>
  </w:footnote>
  <w:footnote w:id="20">
    <w:p w14:paraId="687782F2" w14:textId="6C8EF79C"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4264C1">
        <w:rPr>
          <w:rFonts w:asciiTheme="minorHAnsi" w:hAnsiTheme="minorHAnsi" w:cstheme="minorHAnsi"/>
        </w:rPr>
        <w:t xml:space="preserve"> </w:t>
      </w:r>
      <w:r w:rsidR="00737EDD" w:rsidRPr="00FF63BF">
        <w:rPr>
          <w:rFonts w:asciiTheme="minorHAnsi" w:hAnsiTheme="minorHAnsi" w:cstheme="minorHAnsi"/>
        </w:rPr>
        <w:t>Richtlijn</w:t>
      </w:r>
      <w:r w:rsidR="00737EDD">
        <w:rPr>
          <w:rFonts w:asciiTheme="minorHAnsi" w:hAnsiTheme="minorHAnsi" w:cstheme="minorHAnsi"/>
        </w:rPr>
        <w:t xml:space="preserve"> (EU)</w:t>
      </w:r>
      <w:r w:rsidR="00737EDD" w:rsidRPr="00FF63BF">
        <w:rPr>
          <w:rFonts w:asciiTheme="minorHAnsi" w:hAnsiTheme="minorHAnsi" w:cstheme="minorHAnsi"/>
        </w:rPr>
        <w:t xml:space="preserve"> 2019/790</w:t>
      </w:r>
      <w:r w:rsidR="00737EDD">
        <w:rPr>
          <w:rFonts w:asciiTheme="minorHAnsi" w:hAnsiTheme="minorHAnsi" w:cstheme="minorHAnsi"/>
        </w:rPr>
        <w:t xml:space="preserve"> ,o</w:t>
      </w:r>
      <w:r w:rsidRPr="00FF63BF">
        <w:rPr>
          <w:rFonts w:asciiTheme="minorHAnsi" w:hAnsiTheme="minorHAnsi" w:cstheme="minorHAnsi"/>
        </w:rPr>
        <w:t xml:space="preserve">verweging 73 </w:t>
      </w:r>
      <w:r w:rsidR="00737EDD">
        <w:rPr>
          <w:rFonts w:asciiTheme="minorHAnsi" w:hAnsiTheme="minorHAnsi" w:cstheme="minorHAnsi"/>
        </w:rPr>
        <w:t xml:space="preserve">&amp; </w:t>
      </w:r>
      <w:r w:rsidRPr="00FF63BF">
        <w:rPr>
          <w:rFonts w:asciiTheme="minorHAnsi" w:hAnsiTheme="minorHAnsi" w:cstheme="minorHAnsi"/>
        </w:rPr>
        <w:t xml:space="preserve">en art. 18 lid 2 </w:t>
      </w:r>
      <w:r w:rsidR="00737EDD">
        <w:rPr>
          <w:rFonts w:asciiTheme="minorHAnsi" w:hAnsiTheme="minorHAnsi" w:cstheme="minorHAnsi"/>
        </w:rPr>
        <w:t>(</w:t>
      </w:r>
      <w:r w:rsidRPr="00FF63BF">
        <w:rPr>
          <w:rFonts w:asciiTheme="minorHAnsi" w:hAnsiTheme="minorHAnsi" w:cstheme="minorHAnsi"/>
        </w:rPr>
        <w:t>DSM-richtli</w:t>
      </w:r>
      <w:r w:rsidR="00737EDD">
        <w:rPr>
          <w:rFonts w:asciiTheme="minorHAnsi" w:hAnsiTheme="minorHAnsi" w:cstheme="minorHAnsi"/>
        </w:rPr>
        <w:t>jn).</w:t>
      </w:r>
    </w:p>
  </w:footnote>
  <w:footnote w:id="21">
    <w:p w14:paraId="4BE7799F" w14:textId="503CE7FA"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B7799B">
        <w:rPr>
          <w:rFonts w:asciiTheme="minorHAnsi" w:hAnsiTheme="minorHAnsi" w:cstheme="minorHAnsi"/>
        </w:rPr>
        <w:t xml:space="preserve"> </w:t>
      </w:r>
      <w:r w:rsidRPr="00FF63BF">
        <w:rPr>
          <w:rFonts w:asciiTheme="minorHAnsi" w:hAnsiTheme="minorHAnsi" w:cstheme="minorHAnsi"/>
        </w:rPr>
        <w:t xml:space="preserve">Rb. Midden-Nederland 4 maart 2026, ECLI:NL:RBMNE:2026:558, </w:t>
      </w:r>
      <w:proofErr w:type="spellStart"/>
      <w:r w:rsidRPr="00FF63BF">
        <w:rPr>
          <w:rFonts w:asciiTheme="minorHAnsi" w:hAnsiTheme="minorHAnsi" w:cstheme="minorHAnsi"/>
        </w:rPr>
        <w:t>r.o.</w:t>
      </w:r>
      <w:proofErr w:type="spellEnd"/>
      <w:r w:rsidRPr="00FF63BF">
        <w:rPr>
          <w:rFonts w:asciiTheme="minorHAnsi" w:hAnsiTheme="minorHAnsi" w:cstheme="minorHAnsi"/>
        </w:rPr>
        <w:t xml:space="preserve"> 3.16.</w:t>
      </w:r>
    </w:p>
  </w:footnote>
  <w:footnote w:id="22">
    <w:p w14:paraId="0A319E55" w14:textId="453C14AE"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B7799B">
        <w:rPr>
          <w:rFonts w:asciiTheme="minorHAnsi" w:hAnsiTheme="minorHAnsi" w:cstheme="minorHAnsi"/>
        </w:rPr>
        <w:t xml:space="preserve"> </w:t>
      </w:r>
      <w:r w:rsidRPr="00FF63BF">
        <w:rPr>
          <w:rFonts w:asciiTheme="minorHAnsi" w:hAnsiTheme="minorHAnsi" w:cstheme="minorHAnsi"/>
        </w:rPr>
        <w:t>Art. 5 lid 1 Berner Conventie voor de bescherming van werken van letterkunde en kunst (1886, herzien 1971).</w:t>
      </w:r>
    </w:p>
  </w:footnote>
  <w:footnote w:id="23">
    <w:p w14:paraId="2C93E6FE" w14:textId="3F83FADF" w:rsidR="00975898" w:rsidRDefault="005C3F98" w:rsidP="00FF63BF">
      <w:r w:rsidRPr="00FF63BF">
        <w:rPr>
          <w:rStyle w:val="Voetnootmarkering"/>
          <w:rFonts w:asciiTheme="minorHAnsi" w:hAnsiTheme="minorHAnsi" w:cstheme="minorHAnsi"/>
        </w:rPr>
        <w:footnoteRef/>
      </w:r>
      <w:r w:rsidR="00B7799B">
        <w:rPr>
          <w:rFonts w:asciiTheme="minorHAnsi" w:hAnsiTheme="minorHAnsi" w:cstheme="minorHAnsi"/>
        </w:rPr>
        <w:t xml:space="preserve"> </w:t>
      </w:r>
      <w:r w:rsidRPr="00FF63BF">
        <w:rPr>
          <w:rFonts w:asciiTheme="minorHAnsi" w:hAnsiTheme="minorHAnsi" w:cstheme="minorHAnsi"/>
        </w:rPr>
        <w:t xml:space="preserve">Rb. Midden-Nederland 4 maart 2026, ECLI:NL:RBMNE:2026:558, </w:t>
      </w:r>
      <w:proofErr w:type="spellStart"/>
      <w:r w:rsidRPr="00FF63BF">
        <w:rPr>
          <w:rFonts w:asciiTheme="minorHAnsi" w:hAnsiTheme="minorHAnsi" w:cstheme="minorHAnsi"/>
        </w:rPr>
        <w:t>r.o.</w:t>
      </w:r>
      <w:proofErr w:type="spellEnd"/>
      <w:r w:rsidRPr="00FF63BF">
        <w:rPr>
          <w:rFonts w:asciiTheme="minorHAnsi" w:hAnsiTheme="minorHAnsi" w:cstheme="minorHAnsi"/>
        </w:rPr>
        <w:t xml:space="preserve"> 3.17-3.18.</w:t>
      </w:r>
    </w:p>
  </w:footnote>
  <w:footnote w:id="24">
    <w:p w14:paraId="6460067F" w14:textId="164C693E" w:rsidR="00981C4B" w:rsidRPr="00FF63BF" w:rsidRDefault="00981C4B">
      <w:pPr>
        <w:pStyle w:val="Voetnoottekst"/>
        <w:rPr>
          <w:rFonts w:asciiTheme="minorHAnsi" w:hAnsiTheme="minorHAnsi" w:cstheme="minorHAnsi"/>
          <w:sz w:val="22"/>
          <w:szCs w:val="22"/>
        </w:rPr>
      </w:pPr>
      <w:r w:rsidRPr="00FF63BF">
        <w:rPr>
          <w:rStyle w:val="Voetnootmarkering"/>
          <w:rFonts w:asciiTheme="minorHAnsi" w:hAnsiTheme="minorHAnsi" w:cstheme="minorHAnsi"/>
          <w:sz w:val="22"/>
          <w:szCs w:val="22"/>
        </w:rPr>
        <w:footnoteRef/>
      </w:r>
      <w:r w:rsidRPr="00FF63BF">
        <w:rPr>
          <w:rFonts w:asciiTheme="minorHAnsi" w:hAnsiTheme="minorHAnsi" w:cstheme="minorHAnsi"/>
          <w:sz w:val="22"/>
          <w:szCs w:val="22"/>
        </w:rPr>
        <w:t xml:space="preserve"> Art. 1 Auteurswet.</w:t>
      </w:r>
    </w:p>
  </w:footnote>
  <w:footnote w:id="25">
    <w:p w14:paraId="687B0A0B" w14:textId="610AF989" w:rsidR="00E11593" w:rsidRDefault="00E11593">
      <w:pPr>
        <w:pStyle w:val="Voetnoottekst"/>
      </w:pPr>
      <w:r>
        <w:rPr>
          <w:rStyle w:val="Voetnootmarkering"/>
        </w:rPr>
        <w:footnoteRef/>
      </w:r>
      <w:r>
        <w:t xml:space="preserve"> </w:t>
      </w:r>
      <w:proofErr w:type="spellStart"/>
      <w:r w:rsidR="00A35C8C" w:rsidRPr="003941A5">
        <w:rPr>
          <w:rFonts w:asciiTheme="minorHAnsi" w:hAnsiTheme="minorHAnsi" w:cstheme="minorHAnsi"/>
          <w:sz w:val="22"/>
          <w:szCs w:val="22"/>
        </w:rPr>
        <w:t>HvJ</w:t>
      </w:r>
      <w:proofErr w:type="spellEnd"/>
      <w:r w:rsidR="00A35C8C" w:rsidRPr="003941A5">
        <w:rPr>
          <w:rFonts w:asciiTheme="minorHAnsi" w:hAnsiTheme="minorHAnsi" w:cstheme="minorHAnsi"/>
          <w:sz w:val="22"/>
          <w:szCs w:val="22"/>
        </w:rPr>
        <w:t xml:space="preserve"> EU 24 oktober 2024, ECLI:EU:C:2024:914, </w:t>
      </w:r>
      <w:proofErr w:type="spellStart"/>
      <w:r w:rsidR="00A35C8C" w:rsidRPr="003941A5">
        <w:rPr>
          <w:rFonts w:asciiTheme="minorHAnsi" w:hAnsiTheme="minorHAnsi" w:cstheme="minorHAnsi"/>
          <w:sz w:val="22"/>
          <w:szCs w:val="22"/>
        </w:rPr>
        <w:t>r.o.</w:t>
      </w:r>
      <w:proofErr w:type="spellEnd"/>
      <w:r w:rsidR="00A35C8C" w:rsidRPr="003941A5">
        <w:rPr>
          <w:rFonts w:asciiTheme="minorHAnsi" w:hAnsiTheme="minorHAnsi" w:cstheme="minorHAnsi"/>
          <w:sz w:val="22"/>
          <w:szCs w:val="22"/>
        </w:rPr>
        <w:t xml:space="preserve"> 45 en 60</w:t>
      </w:r>
      <w:r w:rsidR="00505441" w:rsidRPr="003941A5">
        <w:rPr>
          <w:rFonts w:asciiTheme="minorHAnsi" w:hAnsiTheme="minorHAnsi" w:cstheme="minorHAnsi"/>
          <w:sz w:val="22"/>
          <w:szCs w:val="22"/>
        </w:rPr>
        <w:t xml:space="preserve"> en </w:t>
      </w:r>
      <w:proofErr w:type="spellStart"/>
      <w:r w:rsidR="00505441" w:rsidRPr="003941A5">
        <w:rPr>
          <w:rFonts w:asciiTheme="minorHAnsi" w:hAnsiTheme="minorHAnsi" w:cstheme="minorHAnsi"/>
          <w:sz w:val="22"/>
          <w:szCs w:val="22"/>
        </w:rPr>
        <w:t>HvJ</w:t>
      </w:r>
      <w:proofErr w:type="spellEnd"/>
      <w:r w:rsidR="00505441" w:rsidRPr="003941A5">
        <w:rPr>
          <w:rFonts w:asciiTheme="minorHAnsi" w:hAnsiTheme="minorHAnsi" w:cstheme="minorHAnsi"/>
          <w:sz w:val="22"/>
          <w:szCs w:val="22"/>
        </w:rPr>
        <w:t xml:space="preserve"> EU 8 september 2020, ECLI:EU:C:2020:677, </w:t>
      </w:r>
      <w:proofErr w:type="spellStart"/>
      <w:r w:rsidR="00505441" w:rsidRPr="003941A5">
        <w:rPr>
          <w:rFonts w:asciiTheme="minorHAnsi" w:hAnsiTheme="minorHAnsi" w:cstheme="minorHAnsi"/>
          <w:sz w:val="22"/>
          <w:szCs w:val="22"/>
        </w:rPr>
        <w:t>r.o.</w:t>
      </w:r>
      <w:proofErr w:type="spellEnd"/>
      <w:r w:rsidR="00505441" w:rsidRPr="003941A5">
        <w:rPr>
          <w:rFonts w:asciiTheme="minorHAnsi" w:hAnsiTheme="minorHAnsi" w:cstheme="minorHAnsi"/>
          <w:sz w:val="22"/>
          <w:szCs w:val="22"/>
        </w:rPr>
        <w:t xml:space="preserve"> 88 en 91.</w:t>
      </w:r>
    </w:p>
  </w:footnote>
  <w:footnote w:id="26">
    <w:p w14:paraId="511DDD0D" w14:textId="388AA521" w:rsidR="00975898" w:rsidRPr="00FF63BF" w:rsidRDefault="005C3F98" w:rsidP="00FF63BF">
      <w:pPr>
        <w:rPr>
          <w:rFonts w:asciiTheme="minorHAnsi" w:hAnsiTheme="minorHAnsi" w:cstheme="minorHAnsi"/>
        </w:rPr>
      </w:pPr>
      <w:r w:rsidRPr="00FF63BF">
        <w:rPr>
          <w:rStyle w:val="Voetnootmarkering"/>
          <w:rFonts w:asciiTheme="minorHAnsi" w:hAnsiTheme="minorHAnsi" w:cstheme="minorHAnsi"/>
        </w:rPr>
        <w:footnoteRef/>
      </w:r>
      <w:r w:rsidR="00981C4B" w:rsidRPr="00FF63BF">
        <w:rPr>
          <w:rFonts w:asciiTheme="minorHAnsi" w:hAnsiTheme="minorHAnsi" w:cstheme="minorHAnsi"/>
        </w:rPr>
        <w:t xml:space="preserve"> </w:t>
      </w:r>
      <w:r w:rsidR="001D7929" w:rsidRPr="00FF63BF">
        <w:rPr>
          <w:rFonts w:asciiTheme="minorHAnsi" w:hAnsiTheme="minorHAnsi" w:cstheme="minorHAnsi"/>
        </w:rPr>
        <w:t>Richtlijn</w:t>
      </w:r>
      <w:r w:rsidR="001D7929">
        <w:rPr>
          <w:rFonts w:asciiTheme="minorHAnsi" w:hAnsiTheme="minorHAnsi" w:cstheme="minorHAnsi"/>
        </w:rPr>
        <w:t xml:space="preserve"> (EU)</w:t>
      </w:r>
      <w:r w:rsidR="001D7929" w:rsidRPr="00FF63BF">
        <w:rPr>
          <w:rFonts w:asciiTheme="minorHAnsi" w:hAnsiTheme="minorHAnsi" w:cstheme="minorHAnsi"/>
        </w:rPr>
        <w:t xml:space="preserve"> 2019/79</w:t>
      </w:r>
      <w:r w:rsidR="001D7929">
        <w:rPr>
          <w:rFonts w:asciiTheme="minorHAnsi" w:hAnsiTheme="minorHAnsi" w:cstheme="minorHAnsi"/>
        </w:rPr>
        <w:t>, o</w:t>
      </w:r>
      <w:r w:rsidR="00981C4B" w:rsidRPr="00FF63BF">
        <w:rPr>
          <w:rFonts w:asciiTheme="minorHAnsi" w:hAnsiTheme="minorHAnsi" w:cstheme="minorHAnsi"/>
        </w:rPr>
        <w:t xml:space="preserve">verweging 48 </w:t>
      </w:r>
      <w:r w:rsidR="001D7929">
        <w:rPr>
          <w:rFonts w:asciiTheme="minorHAnsi" w:hAnsiTheme="minorHAnsi" w:cstheme="minorHAnsi"/>
        </w:rPr>
        <w:t>(</w:t>
      </w:r>
      <w:r w:rsidRPr="00FF63BF">
        <w:rPr>
          <w:rFonts w:asciiTheme="minorHAnsi" w:hAnsiTheme="minorHAnsi" w:cstheme="minorHAnsi"/>
        </w:rPr>
        <w:t>DSM-richtlijn</w:t>
      </w:r>
      <w:r w:rsidR="001D7929">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37"/>
    <w:multiLevelType w:val="hybridMultilevel"/>
    <w:tmpl w:val="FF74C276"/>
    <w:lvl w:ilvl="0" w:tplc="DF4625C2">
      <w:start w:val="1"/>
      <w:numFmt w:val="bullet"/>
      <w:lvlText w:val="●"/>
      <w:lvlJc w:val="left"/>
      <w:pPr>
        <w:ind w:left="720" w:hanging="360"/>
      </w:pPr>
    </w:lvl>
    <w:lvl w:ilvl="1" w:tplc="F9FCE510">
      <w:start w:val="1"/>
      <w:numFmt w:val="bullet"/>
      <w:lvlText w:val="○"/>
      <w:lvlJc w:val="left"/>
      <w:pPr>
        <w:ind w:left="1440" w:hanging="360"/>
      </w:pPr>
    </w:lvl>
    <w:lvl w:ilvl="2" w:tplc="33FEF462">
      <w:start w:val="1"/>
      <w:numFmt w:val="bullet"/>
      <w:lvlText w:val="■"/>
      <w:lvlJc w:val="left"/>
      <w:pPr>
        <w:ind w:left="2160" w:hanging="360"/>
      </w:pPr>
    </w:lvl>
    <w:lvl w:ilvl="3" w:tplc="1F8E01AE">
      <w:start w:val="1"/>
      <w:numFmt w:val="bullet"/>
      <w:lvlText w:val="●"/>
      <w:lvlJc w:val="left"/>
      <w:pPr>
        <w:ind w:left="2880" w:hanging="360"/>
      </w:pPr>
    </w:lvl>
    <w:lvl w:ilvl="4" w:tplc="EFF89EA8">
      <w:start w:val="1"/>
      <w:numFmt w:val="bullet"/>
      <w:lvlText w:val="○"/>
      <w:lvlJc w:val="left"/>
      <w:pPr>
        <w:ind w:left="3600" w:hanging="360"/>
      </w:pPr>
    </w:lvl>
    <w:lvl w:ilvl="5" w:tplc="205489DA">
      <w:start w:val="1"/>
      <w:numFmt w:val="bullet"/>
      <w:lvlText w:val="■"/>
      <w:lvlJc w:val="left"/>
      <w:pPr>
        <w:ind w:left="4320" w:hanging="360"/>
      </w:pPr>
    </w:lvl>
    <w:lvl w:ilvl="6" w:tplc="FC5288CC">
      <w:start w:val="1"/>
      <w:numFmt w:val="bullet"/>
      <w:lvlText w:val="●"/>
      <w:lvlJc w:val="left"/>
      <w:pPr>
        <w:ind w:left="5040" w:hanging="360"/>
      </w:pPr>
    </w:lvl>
    <w:lvl w:ilvl="7" w:tplc="5FAA691C">
      <w:start w:val="1"/>
      <w:numFmt w:val="bullet"/>
      <w:lvlText w:val="●"/>
      <w:lvlJc w:val="left"/>
      <w:pPr>
        <w:ind w:left="5760" w:hanging="360"/>
      </w:pPr>
    </w:lvl>
    <w:lvl w:ilvl="8" w:tplc="E9168F80">
      <w:start w:val="1"/>
      <w:numFmt w:val="bullet"/>
      <w:lvlText w:val="●"/>
      <w:lvlJc w:val="left"/>
      <w:pPr>
        <w:ind w:left="6480" w:hanging="360"/>
      </w:pPr>
    </w:lvl>
  </w:abstractNum>
  <w:abstractNum w:abstractNumId="1" w15:restartNumberingAfterBreak="0">
    <w:nsid w:val="63737EF7"/>
    <w:multiLevelType w:val="hybridMultilevel"/>
    <w:tmpl w:val="B69AB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4E1FAA"/>
    <w:multiLevelType w:val="hybridMultilevel"/>
    <w:tmpl w:val="FB545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482567">
    <w:abstractNumId w:val="0"/>
    <w:lvlOverride w:ilvl="0">
      <w:startOverride w:val="1"/>
    </w:lvlOverride>
  </w:num>
  <w:num w:numId="2" w16cid:durableId="237791574">
    <w:abstractNumId w:val="1"/>
  </w:num>
  <w:num w:numId="3" w16cid:durableId="434441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98"/>
    <w:rsid w:val="00015204"/>
    <w:rsid w:val="00027B63"/>
    <w:rsid w:val="00066FDE"/>
    <w:rsid w:val="000671D3"/>
    <w:rsid w:val="000925B2"/>
    <w:rsid w:val="000937C2"/>
    <w:rsid w:val="000A3122"/>
    <w:rsid w:val="000D245E"/>
    <w:rsid w:val="0010210D"/>
    <w:rsid w:val="00104771"/>
    <w:rsid w:val="00163180"/>
    <w:rsid w:val="00184EE7"/>
    <w:rsid w:val="0019608E"/>
    <w:rsid w:val="001A227C"/>
    <w:rsid w:val="001B6112"/>
    <w:rsid w:val="001C0869"/>
    <w:rsid w:val="001D238F"/>
    <w:rsid w:val="001D7929"/>
    <w:rsid w:val="001E34F6"/>
    <w:rsid w:val="001F00C8"/>
    <w:rsid w:val="001F18B3"/>
    <w:rsid w:val="00205071"/>
    <w:rsid w:val="00206156"/>
    <w:rsid w:val="00214769"/>
    <w:rsid w:val="00261E02"/>
    <w:rsid w:val="00284AE5"/>
    <w:rsid w:val="00292916"/>
    <w:rsid w:val="00292C5D"/>
    <w:rsid w:val="002B1937"/>
    <w:rsid w:val="002B1CDB"/>
    <w:rsid w:val="00312045"/>
    <w:rsid w:val="003308AF"/>
    <w:rsid w:val="00333740"/>
    <w:rsid w:val="0035573C"/>
    <w:rsid w:val="00380EEC"/>
    <w:rsid w:val="00384449"/>
    <w:rsid w:val="00384F7E"/>
    <w:rsid w:val="003941A5"/>
    <w:rsid w:val="004264C1"/>
    <w:rsid w:val="00435571"/>
    <w:rsid w:val="004770B1"/>
    <w:rsid w:val="0048312C"/>
    <w:rsid w:val="004A07C3"/>
    <w:rsid w:val="004A6B44"/>
    <w:rsid w:val="004E1638"/>
    <w:rsid w:val="004F77D1"/>
    <w:rsid w:val="00505441"/>
    <w:rsid w:val="0050573F"/>
    <w:rsid w:val="00527DCD"/>
    <w:rsid w:val="005637F1"/>
    <w:rsid w:val="00575DCC"/>
    <w:rsid w:val="005C3F98"/>
    <w:rsid w:val="005E0E95"/>
    <w:rsid w:val="00605DB5"/>
    <w:rsid w:val="0061076B"/>
    <w:rsid w:val="00670F58"/>
    <w:rsid w:val="006B7903"/>
    <w:rsid w:val="006C5327"/>
    <w:rsid w:val="006D1FA0"/>
    <w:rsid w:val="006E1F8E"/>
    <w:rsid w:val="00704105"/>
    <w:rsid w:val="00712BC5"/>
    <w:rsid w:val="0073467B"/>
    <w:rsid w:val="00737EDD"/>
    <w:rsid w:val="00764181"/>
    <w:rsid w:val="00773F79"/>
    <w:rsid w:val="007851A4"/>
    <w:rsid w:val="0079591E"/>
    <w:rsid w:val="007A5310"/>
    <w:rsid w:val="007D766B"/>
    <w:rsid w:val="007E75DF"/>
    <w:rsid w:val="00800950"/>
    <w:rsid w:val="0081623E"/>
    <w:rsid w:val="0082187A"/>
    <w:rsid w:val="00841934"/>
    <w:rsid w:val="008716C0"/>
    <w:rsid w:val="00890947"/>
    <w:rsid w:val="008B1069"/>
    <w:rsid w:val="008D15C1"/>
    <w:rsid w:val="00967796"/>
    <w:rsid w:val="00975898"/>
    <w:rsid w:val="00981C4B"/>
    <w:rsid w:val="009B2B1E"/>
    <w:rsid w:val="00A244E8"/>
    <w:rsid w:val="00A31FA6"/>
    <w:rsid w:val="00A35C8C"/>
    <w:rsid w:val="00A702A4"/>
    <w:rsid w:val="00A81AFE"/>
    <w:rsid w:val="00AD6427"/>
    <w:rsid w:val="00AE4C12"/>
    <w:rsid w:val="00B12FCE"/>
    <w:rsid w:val="00B14A7A"/>
    <w:rsid w:val="00B470DF"/>
    <w:rsid w:val="00B72135"/>
    <w:rsid w:val="00B7799B"/>
    <w:rsid w:val="00B86CB6"/>
    <w:rsid w:val="00BB412E"/>
    <w:rsid w:val="00BB431D"/>
    <w:rsid w:val="00BC63E8"/>
    <w:rsid w:val="00BE0DE0"/>
    <w:rsid w:val="00C3158E"/>
    <w:rsid w:val="00C53682"/>
    <w:rsid w:val="00C6174F"/>
    <w:rsid w:val="00C6745D"/>
    <w:rsid w:val="00C82FA6"/>
    <w:rsid w:val="00CA3369"/>
    <w:rsid w:val="00CA51E0"/>
    <w:rsid w:val="00CB54E0"/>
    <w:rsid w:val="00CC52DA"/>
    <w:rsid w:val="00CE4047"/>
    <w:rsid w:val="00CE7E41"/>
    <w:rsid w:val="00CF6106"/>
    <w:rsid w:val="00D10A2E"/>
    <w:rsid w:val="00D4566F"/>
    <w:rsid w:val="00D575E2"/>
    <w:rsid w:val="00D62A1C"/>
    <w:rsid w:val="00D646E6"/>
    <w:rsid w:val="00D81D50"/>
    <w:rsid w:val="00D91784"/>
    <w:rsid w:val="00D921E8"/>
    <w:rsid w:val="00DA2FA9"/>
    <w:rsid w:val="00DB2220"/>
    <w:rsid w:val="00DF2E63"/>
    <w:rsid w:val="00E11593"/>
    <w:rsid w:val="00E129EC"/>
    <w:rsid w:val="00E254BD"/>
    <w:rsid w:val="00E3125F"/>
    <w:rsid w:val="00E34172"/>
    <w:rsid w:val="00E410E1"/>
    <w:rsid w:val="00E52399"/>
    <w:rsid w:val="00E71150"/>
    <w:rsid w:val="00E758FE"/>
    <w:rsid w:val="00E92CE1"/>
    <w:rsid w:val="00EB270B"/>
    <w:rsid w:val="00F41181"/>
    <w:rsid w:val="00F727A0"/>
    <w:rsid w:val="00F970E0"/>
    <w:rsid w:val="00FD0857"/>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A06D"/>
  <w15:docId w15:val="{98D15D18-5872-482C-8FB8-F2D76573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20" w:after="160"/>
      <w:outlineLvl w:val="0"/>
    </w:pPr>
    <w:rPr>
      <w:b/>
      <w:bCs/>
      <w:color w:val="1A1A2E"/>
      <w:sz w:val="28"/>
      <w:szCs w:val="28"/>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character" w:styleId="Verwijzingopmerking">
    <w:name w:val="annotation reference"/>
    <w:basedOn w:val="Standaardalinea-lettertype"/>
    <w:uiPriority w:val="99"/>
    <w:semiHidden/>
    <w:unhideWhenUsed/>
    <w:rsid w:val="00B14A7A"/>
    <w:rPr>
      <w:sz w:val="16"/>
      <w:szCs w:val="16"/>
    </w:rPr>
  </w:style>
  <w:style w:type="paragraph" w:styleId="Tekstopmerking">
    <w:name w:val="annotation text"/>
    <w:basedOn w:val="Standaard"/>
    <w:link w:val="TekstopmerkingChar"/>
    <w:uiPriority w:val="99"/>
    <w:semiHidden/>
    <w:unhideWhenUsed/>
    <w:rsid w:val="00B14A7A"/>
    <w:rPr>
      <w:sz w:val="20"/>
      <w:szCs w:val="20"/>
    </w:rPr>
  </w:style>
  <w:style w:type="character" w:customStyle="1" w:styleId="TekstopmerkingChar">
    <w:name w:val="Tekst opmerking Char"/>
    <w:basedOn w:val="Standaardalinea-lettertype"/>
    <w:link w:val="Tekstopmerking"/>
    <w:uiPriority w:val="99"/>
    <w:semiHidden/>
    <w:rsid w:val="00B14A7A"/>
    <w:rPr>
      <w:sz w:val="20"/>
      <w:szCs w:val="20"/>
    </w:rPr>
  </w:style>
  <w:style w:type="paragraph" w:styleId="Onderwerpvanopmerking">
    <w:name w:val="annotation subject"/>
    <w:basedOn w:val="Tekstopmerking"/>
    <w:next w:val="Tekstopmerking"/>
    <w:link w:val="OnderwerpvanopmerkingChar"/>
    <w:uiPriority w:val="99"/>
    <w:semiHidden/>
    <w:unhideWhenUsed/>
    <w:rsid w:val="00B14A7A"/>
    <w:rPr>
      <w:b/>
      <w:bCs/>
    </w:rPr>
  </w:style>
  <w:style w:type="character" w:customStyle="1" w:styleId="OnderwerpvanopmerkingChar">
    <w:name w:val="Onderwerp van opmerking Char"/>
    <w:basedOn w:val="TekstopmerkingChar"/>
    <w:link w:val="Onderwerpvanopmerking"/>
    <w:uiPriority w:val="99"/>
    <w:semiHidden/>
    <w:rsid w:val="00B14A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8633-0853-40E2-A79F-6A4D33FC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6</Pages>
  <Words>1958</Words>
  <Characters>10774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Nino van Lith</cp:lastModifiedBy>
  <cp:revision>105</cp:revision>
  <dcterms:created xsi:type="dcterms:W3CDTF">2026-04-06T20:49:00Z</dcterms:created>
  <dcterms:modified xsi:type="dcterms:W3CDTF">2026-04-29T21:29:00Z</dcterms:modified>
</cp:coreProperties>
</file>